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56" w:rsidRPr="00447F06" w:rsidRDefault="00BD4F56" w:rsidP="00BD4F56">
      <w:pPr>
        <w:jc w:val="center"/>
        <w:rPr>
          <w:rFonts w:ascii="Times New Roman" w:hAnsi="Times New Roman" w:cs="Times New Roman"/>
          <w:b/>
          <w:sz w:val="36"/>
        </w:rPr>
      </w:pPr>
      <w:r w:rsidRPr="00447F06">
        <w:rPr>
          <w:rFonts w:ascii="Times New Roman" w:hAnsi="Times New Roman" w:cs="Times New Roman"/>
          <w:b/>
          <w:sz w:val="36"/>
        </w:rPr>
        <w:t>JPSP</w:t>
      </w:r>
    </w:p>
    <w:p w:rsidR="00BD4F56" w:rsidRPr="00447F06" w:rsidRDefault="00BD4F56" w:rsidP="00BD4F56">
      <w:pPr>
        <w:jc w:val="center"/>
        <w:rPr>
          <w:rFonts w:ascii="Times New Roman" w:hAnsi="Times New Roman" w:cs="Times New Roman"/>
        </w:rPr>
      </w:pPr>
      <w:r w:rsidRPr="00447F06">
        <w:rPr>
          <w:rFonts w:ascii="Times New Roman" w:hAnsi="Times New Roman" w:cs="Times New Roman"/>
          <w:sz w:val="18"/>
        </w:rPr>
        <w:t xml:space="preserve"> Investimentos e Participações SA</w:t>
      </w:r>
    </w:p>
    <w:p w:rsidR="005B152D" w:rsidRPr="00447F06" w:rsidRDefault="00BD4F56" w:rsidP="00BD4F56">
      <w:pPr>
        <w:widowControl w:val="0"/>
        <w:overflowPunct w:val="0"/>
        <w:autoSpaceDE w:val="0"/>
        <w:autoSpaceDN w:val="0"/>
        <w:adjustRightInd w:val="0"/>
        <w:spacing w:after="120" w:line="240" w:lineRule="auto"/>
        <w:ind w:right="-44"/>
        <w:jc w:val="center"/>
        <w:rPr>
          <w:rFonts w:ascii="Times New Roman" w:hAnsi="Times New Roman" w:cs="Times New Roman"/>
        </w:rPr>
      </w:pPr>
      <w:r w:rsidRPr="00447F06">
        <w:rPr>
          <w:rFonts w:ascii="Times New Roman" w:hAnsi="Times New Roman" w:cs="Times New Roman"/>
          <w:b/>
          <w:smallCaps/>
        </w:rPr>
        <w:t>JPSP INVESTIMENTOS E PARTICIPAÇÕES S.A.</w:t>
      </w:r>
      <w:r w:rsidRPr="00447F06">
        <w:rPr>
          <w:rFonts w:ascii="Times New Roman" w:hAnsi="Times New Roman" w:cs="Times New Roman"/>
          <w:szCs w:val="26"/>
        </w:rPr>
        <w:t xml:space="preserve"> </w:t>
      </w:r>
      <w:r w:rsidRPr="00447F06">
        <w:rPr>
          <w:rFonts w:ascii="Times New Roman" w:hAnsi="Times New Roman" w:cs="Times New Roman"/>
          <w:szCs w:val="26"/>
        </w:rPr>
        <w:br/>
      </w:r>
      <w:r w:rsidRPr="00447F06">
        <w:rPr>
          <w:rFonts w:ascii="Times New Roman" w:hAnsi="Times New Roman" w:cs="Times New Roman"/>
          <w:sz w:val="18"/>
        </w:rPr>
        <w:t>(anteriormente, Jereissati Telecom S.A.)</w:t>
      </w:r>
      <w:r w:rsidRPr="00447F06">
        <w:rPr>
          <w:rFonts w:ascii="Times New Roman" w:hAnsi="Times New Roman" w:cs="Times New Roman"/>
          <w:sz w:val="18"/>
        </w:rPr>
        <w:br/>
      </w:r>
      <w:r w:rsidRPr="00447F06">
        <w:rPr>
          <w:rFonts w:ascii="Times New Roman" w:hAnsi="Times New Roman" w:cs="Times New Roman"/>
        </w:rPr>
        <w:t>Companhia Aberta – Código CVM 01226-2</w:t>
      </w:r>
      <w:r w:rsidRPr="00447F06">
        <w:rPr>
          <w:rFonts w:ascii="Times New Roman" w:hAnsi="Times New Roman" w:cs="Times New Roman"/>
          <w:szCs w:val="26"/>
        </w:rPr>
        <w:br/>
      </w:r>
      <w:r w:rsidRPr="00447F06">
        <w:rPr>
          <w:rFonts w:ascii="Times New Roman" w:hAnsi="Times New Roman" w:cs="Times New Roman"/>
        </w:rPr>
        <w:t>CNPJ 53.790.218/0001-53</w:t>
      </w:r>
      <w:r w:rsidRPr="00447F06">
        <w:rPr>
          <w:rFonts w:ascii="Times New Roman" w:hAnsi="Times New Roman" w:cs="Times New Roman"/>
          <w:szCs w:val="26"/>
        </w:rPr>
        <w:br/>
      </w:r>
      <w:r w:rsidRPr="00447F06">
        <w:rPr>
          <w:rFonts w:ascii="Times New Roman" w:hAnsi="Times New Roman" w:cs="Times New Roman"/>
        </w:rPr>
        <w:t>NIRE</w:t>
      </w:r>
      <w:r w:rsidRPr="00447F06">
        <w:rPr>
          <w:rFonts w:ascii="Times New Roman" w:hAnsi="Times New Roman" w:cs="Times New Roman"/>
          <w:szCs w:val="26"/>
        </w:rPr>
        <w:t> </w:t>
      </w:r>
      <w:r w:rsidRPr="00447F06">
        <w:rPr>
          <w:rFonts w:ascii="Times New Roman" w:hAnsi="Times New Roman" w:cs="Times New Roman"/>
        </w:rPr>
        <w:t>35.3.00099940</w:t>
      </w:r>
      <w:r w:rsidR="005B152D" w:rsidRPr="00447F06">
        <w:rPr>
          <w:rFonts w:ascii="Times New Roman" w:hAnsi="Times New Roman" w:cs="Times New Roman"/>
          <w:szCs w:val="26"/>
        </w:rPr>
        <w:br/>
      </w:r>
    </w:p>
    <w:tbl>
      <w:tblPr>
        <w:tblW w:w="0" w:type="auto"/>
        <w:tblLook w:val="04A0" w:firstRow="1" w:lastRow="0" w:firstColumn="1" w:lastColumn="0" w:noHBand="0" w:noVBand="1"/>
      </w:tblPr>
      <w:tblGrid>
        <w:gridCol w:w="4252"/>
        <w:gridCol w:w="4252"/>
      </w:tblGrid>
      <w:tr w:rsidR="005B152D" w:rsidRPr="00F12B68" w:rsidTr="003314C1">
        <w:tc>
          <w:tcPr>
            <w:tcW w:w="4464" w:type="dxa"/>
            <w:shd w:val="clear" w:color="auto" w:fill="auto"/>
          </w:tcPr>
          <w:p w:rsidR="005B152D" w:rsidRPr="00F12B68" w:rsidRDefault="005B152D" w:rsidP="00C86D4E">
            <w:pPr>
              <w:widowControl w:val="0"/>
              <w:overflowPunct w:val="0"/>
              <w:autoSpaceDE w:val="0"/>
              <w:autoSpaceDN w:val="0"/>
              <w:adjustRightInd w:val="0"/>
              <w:spacing w:after="120" w:line="240" w:lineRule="auto"/>
              <w:ind w:right="-44"/>
              <w:jc w:val="center"/>
              <w:rPr>
                <w:rFonts w:ascii="Times New Roman" w:hAnsi="Times New Roman"/>
              </w:rPr>
            </w:pPr>
            <w:r w:rsidRPr="00F12B68">
              <w:rPr>
                <w:rFonts w:ascii="Times New Roman" w:hAnsi="Times New Roman"/>
              </w:rPr>
              <w:t>Código ISIN das Ações Ordinárias: BRLFFEACNOR2</w:t>
            </w:r>
            <w:r w:rsidRPr="00F12B68">
              <w:rPr>
                <w:rFonts w:ascii="Times New Roman" w:hAnsi="Times New Roman"/>
              </w:rPr>
              <w:br/>
              <w:t>Código de Negociação das Ações Ordinárias na BM&amp;FBOVESPA: LFFE3</w:t>
            </w:r>
          </w:p>
        </w:tc>
        <w:tc>
          <w:tcPr>
            <w:tcW w:w="4465" w:type="dxa"/>
            <w:shd w:val="clear" w:color="auto" w:fill="auto"/>
          </w:tcPr>
          <w:p w:rsidR="005B152D" w:rsidRPr="00F12B68" w:rsidRDefault="005B152D" w:rsidP="00C86D4E">
            <w:pPr>
              <w:widowControl w:val="0"/>
              <w:overflowPunct w:val="0"/>
              <w:autoSpaceDE w:val="0"/>
              <w:autoSpaceDN w:val="0"/>
              <w:adjustRightInd w:val="0"/>
              <w:spacing w:after="120" w:line="240" w:lineRule="auto"/>
              <w:ind w:right="-44"/>
              <w:jc w:val="center"/>
              <w:rPr>
                <w:rFonts w:ascii="Times New Roman" w:hAnsi="Times New Roman"/>
              </w:rPr>
            </w:pPr>
            <w:r w:rsidRPr="00F12B68">
              <w:rPr>
                <w:rFonts w:ascii="Times New Roman" w:hAnsi="Times New Roman"/>
              </w:rPr>
              <w:t>Código ISIN das Ações Preferenciais: BRLFFEACNPR9</w:t>
            </w:r>
            <w:r w:rsidRPr="00F12B68">
              <w:rPr>
                <w:rFonts w:ascii="Times New Roman" w:hAnsi="Times New Roman"/>
              </w:rPr>
              <w:br/>
              <w:t>Código de Negociação das Ações Preferenciais na BM&amp;FBOVESPA: LFFE4</w:t>
            </w:r>
          </w:p>
        </w:tc>
      </w:tr>
    </w:tbl>
    <w:p w:rsidR="005B152D" w:rsidRPr="00F12B68" w:rsidRDefault="005B152D" w:rsidP="00C86D4E">
      <w:pPr>
        <w:widowControl w:val="0"/>
        <w:spacing w:after="120" w:line="240" w:lineRule="auto"/>
        <w:jc w:val="center"/>
        <w:rPr>
          <w:rFonts w:ascii="Times New Roman" w:hAnsi="Times New Roman" w:cs="Times New Roman"/>
          <w:smallCaps/>
          <w:szCs w:val="26"/>
        </w:rPr>
      </w:pPr>
    </w:p>
    <w:p w:rsidR="00AE6C04" w:rsidRPr="008F0395" w:rsidRDefault="00A34423" w:rsidP="00C86D4E">
      <w:pPr>
        <w:widowControl w:val="0"/>
        <w:spacing w:after="120" w:line="240" w:lineRule="auto"/>
        <w:jc w:val="center"/>
        <w:rPr>
          <w:rFonts w:ascii="Times New Roman" w:hAnsi="Times New Roman" w:cs="Times New Roman"/>
          <w:smallCaps/>
          <w:szCs w:val="26"/>
          <w:u w:val="single"/>
        </w:rPr>
      </w:pPr>
      <w:r w:rsidRPr="008F0395">
        <w:rPr>
          <w:rFonts w:ascii="Times New Roman" w:hAnsi="Times New Roman" w:cs="Times New Roman"/>
          <w:smallCaps/>
          <w:szCs w:val="26"/>
          <w:u w:val="single"/>
        </w:rPr>
        <w:t>Formulário de Manifestação</w:t>
      </w:r>
      <w:r w:rsidR="008F0395" w:rsidRPr="008F0395">
        <w:rPr>
          <w:rFonts w:ascii="Times New Roman" w:hAnsi="Times New Roman" w:cs="Times New Roman"/>
          <w:smallCaps/>
          <w:szCs w:val="26"/>
          <w:u w:val="single"/>
        </w:rPr>
        <w:t xml:space="preserve"> de Concordância com o Cancelamento de Registro</w:t>
      </w:r>
    </w:p>
    <w:p w:rsidR="00617F4B" w:rsidRPr="00F12B68" w:rsidRDefault="00617F4B" w:rsidP="00C86D4E">
      <w:pPr>
        <w:widowControl w:val="0"/>
        <w:spacing w:after="120" w:line="240" w:lineRule="auto"/>
        <w:jc w:val="center"/>
        <w:rPr>
          <w:rFonts w:ascii="Times New Roman" w:hAnsi="Times New Roman" w:cs="Times New Roman"/>
          <w:smallCaps/>
          <w:szCs w:val="26"/>
          <w:u w:val="single"/>
        </w:rPr>
      </w:pPr>
      <w:r w:rsidRPr="00F12B68">
        <w:rPr>
          <w:rFonts w:ascii="Times New Roman" w:hAnsi="Times New Roman" w:cs="Times New Roman"/>
          <w:smallCaps/>
          <w:szCs w:val="26"/>
        </w:rPr>
        <w:t xml:space="preserve">Oferta Pública Unificada de Aquisição de Ações Ordinárias e de Ações Preferenciais de Emissão da </w:t>
      </w:r>
      <w:r w:rsidR="00BD4F56" w:rsidRPr="00BD4F56">
        <w:rPr>
          <w:rFonts w:ascii="Times New Roman" w:hAnsi="Times New Roman" w:cs="Times New Roman"/>
          <w:smallCaps/>
          <w:szCs w:val="26"/>
        </w:rPr>
        <w:t>JPSP Inve</w:t>
      </w:r>
      <w:r w:rsidR="00BD4F56">
        <w:rPr>
          <w:rFonts w:ascii="Times New Roman" w:hAnsi="Times New Roman" w:cs="Times New Roman"/>
          <w:smallCaps/>
          <w:szCs w:val="26"/>
        </w:rPr>
        <w:t>stimentos e Participações S.A.</w:t>
      </w:r>
    </w:p>
    <w:p w:rsidR="00AE6C04" w:rsidRPr="00F12B68" w:rsidRDefault="00AE6C04" w:rsidP="00C86D4E">
      <w:pPr>
        <w:widowControl w:val="0"/>
        <w:spacing w:after="120" w:line="240" w:lineRule="auto"/>
        <w:jc w:val="both"/>
        <w:rPr>
          <w:rFonts w:ascii="Times New Roman" w:hAnsi="Times New Roman" w:cs="Times New Roman"/>
          <w:szCs w:val="26"/>
        </w:rPr>
      </w:pPr>
    </w:p>
    <w:tbl>
      <w:tblPr>
        <w:tblStyle w:val="Tabelacomgrade"/>
        <w:tblW w:w="0" w:type="auto"/>
        <w:tblLook w:val="04A0" w:firstRow="1" w:lastRow="0" w:firstColumn="1" w:lastColumn="0" w:noHBand="0" w:noVBand="1"/>
      </w:tblPr>
      <w:tblGrid>
        <w:gridCol w:w="8494"/>
      </w:tblGrid>
      <w:tr w:rsidR="006E0F10" w:rsidRPr="00F12B68" w:rsidTr="006E0F10">
        <w:tc>
          <w:tcPr>
            <w:tcW w:w="8644" w:type="dxa"/>
          </w:tcPr>
          <w:p w:rsidR="006E0F10" w:rsidRPr="00F12B68" w:rsidRDefault="006E0F10" w:rsidP="00C86D4E">
            <w:pPr>
              <w:widowControl w:val="0"/>
              <w:spacing w:after="120"/>
              <w:jc w:val="both"/>
              <w:rPr>
                <w:rFonts w:ascii="Times New Roman" w:hAnsi="Times New Roman" w:cs="Times New Roman"/>
                <w:szCs w:val="26"/>
              </w:rPr>
            </w:pPr>
            <w:r w:rsidRPr="00F12B68">
              <w:rPr>
                <w:rFonts w:ascii="Times New Roman" w:hAnsi="Times New Roman" w:cs="Times New Roman"/>
                <w:szCs w:val="26"/>
              </w:rPr>
              <w:t xml:space="preserve">Formulário de manifestação </w:t>
            </w:r>
            <w:r w:rsidR="008F0395">
              <w:rPr>
                <w:rFonts w:ascii="Times New Roman" w:hAnsi="Times New Roman" w:cs="Times New Roman"/>
                <w:szCs w:val="26"/>
              </w:rPr>
              <w:t xml:space="preserve">de concordância com o Cancelamento de Registro </w:t>
            </w:r>
            <w:r w:rsidRPr="00F12B68">
              <w:rPr>
                <w:rFonts w:ascii="Times New Roman" w:hAnsi="Times New Roman" w:cs="Times New Roman"/>
                <w:szCs w:val="26"/>
              </w:rPr>
              <w:t>("</w:t>
            </w:r>
            <w:r w:rsidRPr="00F12B68">
              <w:rPr>
                <w:rFonts w:ascii="Times New Roman" w:hAnsi="Times New Roman" w:cs="Times New Roman"/>
                <w:szCs w:val="26"/>
                <w:u w:val="single"/>
              </w:rPr>
              <w:t>Formulário de Manifestação</w:t>
            </w:r>
            <w:r w:rsidRPr="00F12B68">
              <w:rPr>
                <w:rFonts w:ascii="Times New Roman" w:hAnsi="Times New Roman" w:cs="Times New Roman"/>
                <w:szCs w:val="26"/>
              </w:rPr>
              <w:t xml:space="preserve">") relativo à oferta pública unificada de aquisição de ações ordinárias e de ações preferenciais de emissão de </w:t>
            </w:r>
            <w:r w:rsidR="00BD4F56" w:rsidRPr="00BD4F56">
              <w:rPr>
                <w:rFonts w:ascii="Times New Roman" w:hAnsi="Times New Roman" w:cs="Times New Roman"/>
                <w:smallCaps/>
                <w:szCs w:val="26"/>
              </w:rPr>
              <w:t xml:space="preserve">JPSP Investimentos </w:t>
            </w:r>
            <w:r w:rsidR="00BD4F56">
              <w:rPr>
                <w:rFonts w:ascii="Times New Roman" w:hAnsi="Times New Roman" w:cs="Times New Roman"/>
                <w:smallCaps/>
                <w:szCs w:val="26"/>
              </w:rPr>
              <w:t>e</w:t>
            </w:r>
            <w:r w:rsidR="00BD4F56" w:rsidRPr="00BD4F56">
              <w:rPr>
                <w:rFonts w:ascii="Times New Roman" w:hAnsi="Times New Roman" w:cs="Times New Roman"/>
                <w:smallCaps/>
                <w:szCs w:val="26"/>
              </w:rPr>
              <w:t xml:space="preserve"> Participações S.A</w:t>
            </w:r>
            <w:r w:rsidR="00BD4F56" w:rsidRPr="00447F06">
              <w:rPr>
                <w:rFonts w:ascii="Times New Roman" w:hAnsi="Times New Roman" w:cs="Times New Roman"/>
                <w:szCs w:val="26"/>
              </w:rPr>
              <w:t>., anteriormente Jereissati Telecom S.A.</w:t>
            </w:r>
            <w:r w:rsidRPr="00F12B68">
              <w:rPr>
                <w:rFonts w:ascii="Times New Roman" w:hAnsi="Times New Roman" w:cs="Times New Roman"/>
                <w:szCs w:val="26"/>
              </w:rPr>
              <w:t>, sociedade por ações com registro na categoria A de emissor de valores mobiliários admitidos à negociação em mercados regulament</w:t>
            </w:r>
            <w:r w:rsidR="00583210" w:rsidRPr="00F12B68">
              <w:rPr>
                <w:rFonts w:ascii="Times New Roman" w:hAnsi="Times New Roman" w:cs="Times New Roman"/>
                <w:szCs w:val="26"/>
              </w:rPr>
              <w:t>ados</w:t>
            </w:r>
            <w:r w:rsidRPr="00F12B68">
              <w:rPr>
                <w:rFonts w:ascii="Times New Roman" w:hAnsi="Times New Roman" w:cs="Times New Roman"/>
                <w:szCs w:val="26"/>
              </w:rPr>
              <w:t xml:space="preserve"> de valores mobiliários, com sede na Cidade de São Paulo, Estado de São Paulo, na Rua Angelina Maffei Vita 200, 9º andar, inscrita no Cadastro Nacional da Pessoa Jurídica do Ministério da Fazenda ("</w:t>
            </w:r>
            <w:r w:rsidRPr="00F12B68">
              <w:rPr>
                <w:rFonts w:ascii="Times New Roman" w:hAnsi="Times New Roman" w:cs="Times New Roman"/>
                <w:szCs w:val="26"/>
                <w:u w:val="single"/>
              </w:rPr>
              <w:t>CNPJ</w:t>
            </w:r>
            <w:r w:rsidRPr="00F12B68">
              <w:rPr>
                <w:rFonts w:ascii="Times New Roman" w:hAnsi="Times New Roman" w:cs="Times New Roman"/>
                <w:szCs w:val="26"/>
              </w:rPr>
              <w:t>") sob o n.º 53.790.218/0001-53 ("</w:t>
            </w:r>
            <w:r w:rsidRPr="00F12B68">
              <w:rPr>
                <w:rFonts w:ascii="Times New Roman" w:hAnsi="Times New Roman" w:cs="Times New Roman"/>
                <w:szCs w:val="26"/>
                <w:u w:val="single"/>
              </w:rPr>
              <w:t>Companhia</w:t>
            </w:r>
            <w:r w:rsidRPr="00F12B68">
              <w:rPr>
                <w:rFonts w:ascii="Times New Roman" w:hAnsi="Times New Roman" w:cs="Times New Roman"/>
                <w:szCs w:val="26"/>
              </w:rPr>
              <w:t>"), (i) em consequência do aumento de participação da Ofertante (conforme definido abaixo) no capital social da Companhia, por força do artigo 4º, parágrafo 6º, da Lei n.º 6.404, de 15 de dezembro de 1976, conforme alterada ("</w:t>
            </w:r>
            <w:r w:rsidRPr="00F12B68">
              <w:rPr>
                <w:rFonts w:ascii="Times New Roman" w:hAnsi="Times New Roman" w:cs="Times New Roman"/>
                <w:szCs w:val="26"/>
                <w:u w:val="single"/>
              </w:rPr>
              <w:t>Lei das Sociedades por Ações</w:t>
            </w:r>
            <w:r w:rsidRPr="00F12B68">
              <w:rPr>
                <w:rFonts w:ascii="Times New Roman" w:hAnsi="Times New Roman" w:cs="Times New Roman"/>
                <w:szCs w:val="26"/>
              </w:rPr>
              <w:t>") ("</w:t>
            </w:r>
            <w:r w:rsidRPr="00F12B68">
              <w:rPr>
                <w:rFonts w:ascii="Times New Roman" w:hAnsi="Times New Roman" w:cs="Times New Roman"/>
                <w:szCs w:val="26"/>
                <w:u w:val="single"/>
              </w:rPr>
              <w:t>OPA por Aumento de Participação</w:t>
            </w:r>
            <w:r w:rsidRPr="00F12B68">
              <w:rPr>
                <w:rFonts w:ascii="Times New Roman" w:hAnsi="Times New Roman" w:cs="Times New Roman"/>
                <w:szCs w:val="26"/>
              </w:rPr>
              <w:t>"); e (ii) para cancelamento do registro da Companhia na categoria A como emissor de valores mobiliários admitidos à negociação em mercados regulament</w:t>
            </w:r>
            <w:r w:rsidR="00583210" w:rsidRPr="00F12B68">
              <w:rPr>
                <w:rFonts w:ascii="Times New Roman" w:hAnsi="Times New Roman" w:cs="Times New Roman"/>
                <w:szCs w:val="26"/>
              </w:rPr>
              <w:t>ados</w:t>
            </w:r>
            <w:r w:rsidRPr="00F12B68">
              <w:rPr>
                <w:rFonts w:ascii="Times New Roman" w:hAnsi="Times New Roman" w:cs="Times New Roman"/>
                <w:szCs w:val="26"/>
              </w:rPr>
              <w:t xml:space="preserve"> de valores mobiliários, por força do artigo 4º, parágrafo 4º, da Lei das Sociedades por Ações ("</w:t>
            </w:r>
            <w:r w:rsidRPr="00F12B68">
              <w:rPr>
                <w:rFonts w:ascii="Times New Roman" w:hAnsi="Times New Roman" w:cs="Times New Roman"/>
                <w:szCs w:val="26"/>
                <w:u w:val="single"/>
              </w:rPr>
              <w:t>Cancelamento de Registro</w:t>
            </w:r>
            <w:r w:rsidRPr="00F12B68">
              <w:rPr>
                <w:rFonts w:ascii="Times New Roman" w:hAnsi="Times New Roman" w:cs="Times New Roman"/>
                <w:szCs w:val="26"/>
              </w:rPr>
              <w:t>") ("</w:t>
            </w:r>
            <w:r w:rsidRPr="00F12B68">
              <w:rPr>
                <w:rFonts w:ascii="Times New Roman" w:hAnsi="Times New Roman" w:cs="Times New Roman"/>
                <w:szCs w:val="26"/>
                <w:u w:val="single"/>
              </w:rPr>
              <w:t>OPA para Cancelamento de Registro</w:t>
            </w:r>
            <w:r w:rsidRPr="00F12B68">
              <w:rPr>
                <w:rFonts w:ascii="Times New Roman" w:hAnsi="Times New Roman" w:cs="Times New Roman"/>
                <w:szCs w:val="26"/>
              </w:rPr>
              <w:t>" e, em conjunto com a OPA por Aumento de Participação, "</w:t>
            </w:r>
            <w:r w:rsidRPr="00F12B68">
              <w:rPr>
                <w:rFonts w:ascii="Times New Roman" w:hAnsi="Times New Roman" w:cs="Times New Roman"/>
                <w:szCs w:val="26"/>
                <w:u w:val="single"/>
              </w:rPr>
              <w:t>Oferta</w:t>
            </w:r>
            <w:r w:rsidRPr="00F12B68">
              <w:rPr>
                <w:rFonts w:ascii="Times New Roman" w:hAnsi="Times New Roman" w:cs="Times New Roman"/>
                <w:szCs w:val="26"/>
              </w:rPr>
              <w:t>").</w:t>
            </w:r>
          </w:p>
          <w:p w:rsidR="00583210" w:rsidRPr="00F12B68" w:rsidRDefault="00583210" w:rsidP="00C86D4E">
            <w:pPr>
              <w:widowControl w:val="0"/>
              <w:spacing w:after="120"/>
              <w:jc w:val="both"/>
              <w:rPr>
                <w:rFonts w:ascii="Times New Roman" w:hAnsi="Times New Roman" w:cs="Times New Roman"/>
                <w:szCs w:val="26"/>
              </w:rPr>
            </w:pPr>
            <w:r w:rsidRPr="00F12B68">
              <w:rPr>
                <w:rFonts w:ascii="Times New Roman" w:hAnsi="Times New Roman" w:cs="Times New Roman"/>
                <w:szCs w:val="26"/>
              </w:rPr>
              <w:t xml:space="preserve">A Oferta é realizada por BTG </w:t>
            </w:r>
            <w:r w:rsidRPr="00F12B68">
              <w:rPr>
                <w:rFonts w:ascii="Times New Roman" w:hAnsi="Times New Roman" w:cs="Times New Roman"/>
                <w:smallCaps/>
                <w:szCs w:val="26"/>
              </w:rPr>
              <w:t>Pactual Corretora de Títulos e Valores Mobiliários</w:t>
            </w:r>
            <w:r w:rsidRPr="00F12B68">
              <w:rPr>
                <w:rFonts w:ascii="Times New Roman" w:hAnsi="Times New Roman" w:cs="Times New Roman"/>
                <w:szCs w:val="26"/>
              </w:rPr>
              <w:t xml:space="preserve"> S.A., instituição financeira com sede na Cidade de São Paulo, Estado de São Paulo, na Avenida Brigadeiro Faria Lima 3477, 14º</w:t>
            </w:r>
            <w:r w:rsidR="009D4138" w:rsidRPr="00F12B68">
              <w:rPr>
                <w:rFonts w:ascii="Times New Roman" w:hAnsi="Times New Roman" w:cs="Times New Roman"/>
                <w:szCs w:val="26"/>
              </w:rPr>
              <w:t xml:space="preserve"> </w:t>
            </w:r>
            <w:r w:rsidRPr="00F12B68">
              <w:rPr>
                <w:rFonts w:ascii="Times New Roman" w:hAnsi="Times New Roman" w:cs="Times New Roman"/>
                <w:szCs w:val="26"/>
              </w:rPr>
              <w:t>andar, inscrita no CNPJ sob o n.º 43.815.158/0001-22, na qualidade de instituição intermediária ("</w:t>
            </w:r>
            <w:r w:rsidRPr="00F12B68">
              <w:rPr>
                <w:rFonts w:ascii="Times New Roman" w:hAnsi="Times New Roman" w:cs="Times New Roman"/>
                <w:szCs w:val="26"/>
                <w:u w:val="single"/>
              </w:rPr>
              <w:t>Instituição Intermediária</w:t>
            </w:r>
            <w:r w:rsidRPr="00F12B68">
              <w:rPr>
                <w:rFonts w:ascii="Times New Roman" w:hAnsi="Times New Roman" w:cs="Times New Roman"/>
                <w:szCs w:val="26"/>
              </w:rPr>
              <w:t>"), por conta e ordem d</w:t>
            </w:r>
            <w:r w:rsidR="009D4138" w:rsidRPr="00F12B68">
              <w:rPr>
                <w:rFonts w:ascii="Times New Roman" w:hAnsi="Times New Roman" w:cs="Times New Roman"/>
                <w:szCs w:val="26"/>
              </w:rPr>
              <w:t>e</w:t>
            </w:r>
            <w:r w:rsidRPr="00F12B68">
              <w:rPr>
                <w:rFonts w:ascii="Times New Roman" w:hAnsi="Times New Roman" w:cs="Times New Roman"/>
                <w:szCs w:val="26"/>
              </w:rPr>
              <w:t xml:space="preserve"> </w:t>
            </w:r>
            <w:r w:rsidRPr="00F12B68">
              <w:rPr>
                <w:rFonts w:ascii="Times New Roman" w:hAnsi="Times New Roman" w:cs="Times New Roman"/>
                <w:smallCaps/>
                <w:szCs w:val="26"/>
              </w:rPr>
              <w:t>Jereissati Participações S.A.</w:t>
            </w:r>
            <w:r w:rsidRPr="00F12B68">
              <w:rPr>
                <w:rFonts w:ascii="Times New Roman" w:hAnsi="Times New Roman" w:cs="Times New Roman"/>
                <w:szCs w:val="26"/>
              </w:rPr>
              <w:t>, sociedade por ações com sede na Cidade de São Paulo, Estado de São Paulo, na Rua Angelina Maffei Vita 200, 9º°andar, inscrita no CNPJ sob o n.º 60.543.816/0001-93, na qualidade de acionista controladora e ofertante ("</w:t>
            </w:r>
            <w:r w:rsidRPr="00F12B68">
              <w:rPr>
                <w:rFonts w:ascii="Times New Roman" w:hAnsi="Times New Roman" w:cs="Times New Roman"/>
                <w:szCs w:val="26"/>
                <w:u w:val="single"/>
              </w:rPr>
              <w:t>Ofertante</w:t>
            </w:r>
            <w:r w:rsidRPr="00F12B68">
              <w:rPr>
                <w:rFonts w:ascii="Times New Roman" w:hAnsi="Times New Roman" w:cs="Times New Roman"/>
                <w:szCs w:val="26"/>
              </w:rPr>
              <w:t xml:space="preserve">"), </w:t>
            </w:r>
            <w:r w:rsidR="002B7CCE" w:rsidRPr="00F12B68">
              <w:rPr>
                <w:rFonts w:ascii="Times New Roman" w:hAnsi="Times New Roman"/>
              </w:rPr>
              <w:t>nos termos da Lei n.º</w:t>
            </w:r>
            <w:r w:rsidR="002B7CCE" w:rsidRPr="00F12B68">
              <w:rPr>
                <w:rFonts w:ascii="Times New Roman" w:hAnsi="Times New Roman"/>
                <w:szCs w:val="26"/>
              </w:rPr>
              <w:t> </w:t>
            </w:r>
            <w:r w:rsidR="002B7CCE" w:rsidRPr="00F12B68">
              <w:rPr>
                <w:rFonts w:ascii="Times New Roman" w:hAnsi="Times New Roman"/>
              </w:rPr>
              <w:t>6.385, de 7 de dezembro de 1976, conforme alterada, da Lei das Sociedades por Ações, da Instrução da CVM n.º</w:t>
            </w:r>
            <w:r w:rsidR="002B7CCE" w:rsidRPr="00F12B68">
              <w:rPr>
                <w:rFonts w:ascii="Times New Roman" w:hAnsi="Times New Roman"/>
                <w:szCs w:val="26"/>
              </w:rPr>
              <w:t> </w:t>
            </w:r>
            <w:r w:rsidR="002B7CCE" w:rsidRPr="00F12B68">
              <w:rPr>
                <w:rFonts w:ascii="Times New Roman" w:hAnsi="Times New Roman"/>
              </w:rPr>
              <w:t>361, de 5 de março de 2002, conforme alterada</w:t>
            </w:r>
            <w:r w:rsidR="002B7CCE" w:rsidRPr="00F12B68">
              <w:rPr>
                <w:rFonts w:ascii="Times New Roman" w:hAnsi="Times New Roman" w:cs="Arial"/>
              </w:rPr>
              <w:t xml:space="preserve"> </w:t>
            </w:r>
            <w:r w:rsidR="002B7CCE" w:rsidRPr="00F12B68">
              <w:rPr>
                <w:rFonts w:ascii="Times New Roman" w:hAnsi="Times New Roman"/>
              </w:rPr>
              <w:t>("</w:t>
            </w:r>
            <w:r w:rsidR="002B7CCE" w:rsidRPr="00F12B68">
              <w:rPr>
                <w:rFonts w:ascii="Times New Roman" w:hAnsi="Times New Roman"/>
                <w:u w:val="single"/>
              </w:rPr>
              <w:t>Instrução CVM 361</w:t>
            </w:r>
            <w:r w:rsidR="002B7CCE" w:rsidRPr="00F12B68">
              <w:rPr>
                <w:rFonts w:ascii="Times New Roman" w:hAnsi="Times New Roman"/>
              </w:rPr>
              <w:t xml:space="preserve">"), </w:t>
            </w:r>
            <w:r w:rsidR="002B7CCE" w:rsidRPr="00F12B68">
              <w:rPr>
                <w:rFonts w:ascii="Times New Roman" w:hAnsi="Times New Roman"/>
                <w:szCs w:val="26"/>
              </w:rPr>
              <w:t>das demais disposições legais e regulamentares aplicáveis e do</w:t>
            </w:r>
            <w:r w:rsidR="002B7CCE" w:rsidRPr="00F12B68">
              <w:rPr>
                <w:rFonts w:ascii="Times New Roman" w:hAnsi="Times New Roman" w:cs="Times New Roman"/>
                <w:szCs w:val="26"/>
              </w:rPr>
              <w:t xml:space="preserve"> </w:t>
            </w:r>
            <w:r w:rsidRPr="00F12B68">
              <w:rPr>
                <w:rFonts w:ascii="Times New Roman" w:hAnsi="Times New Roman" w:cs="Times New Roman"/>
                <w:szCs w:val="26"/>
              </w:rPr>
              <w:t xml:space="preserve">"Edital de Oferta Pública Unificada </w:t>
            </w:r>
            <w:r w:rsidR="00CD7806" w:rsidRPr="00F12B68">
              <w:rPr>
                <w:rFonts w:ascii="Times New Roman" w:hAnsi="Times New Roman" w:cs="Times New Roman"/>
                <w:szCs w:val="26"/>
              </w:rPr>
              <w:t>de</w:t>
            </w:r>
            <w:r w:rsidRPr="00F12B68">
              <w:rPr>
                <w:rFonts w:ascii="Times New Roman" w:hAnsi="Times New Roman" w:cs="Times New Roman"/>
                <w:szCs w:val="26"/>
              </w:rPr>
              <w:t xml:space="preserve"> Aquisição de Ações Ordinárias e de Ações Preferenciais de emissão da </w:t>
            </w:r>
            <w:r w:rsidR="007E1892" w:rsidRPr="007E1892">
              <w:rPr>
                <w:rFonts w:ascii="Times New Roman" w:hAnsi="Times New Roman" w:cs="Times New Roman"/>
                <w:szCs w:val="26"/>
              </w:rPr>
              <w:t xml:space="preserve">JPSP </w:t>
            </w:r>
            <w:r w:rsidR="007E1892">
              <w:rPr>
                <w:rFonts w:ascii="Times New Roman" w:hAnsi="Times New Roman" w:cs="Times New Roman"/>
                <w:szCs w:val="26"/>
              </w:rPr>
              <w:t>Investimentos e</w:t>
            </w:r>
            <w:r w:rsidR="007E1892" w:rsidRPr="007E1892">
              <w:rPr>
                <w:rFonts w:ascii="Times New Roman" w:hAnsi="Times New Roman" w:cs="Times New Roman"/>
                <w:szCs w:val="26"/>
              </w:rPr>
              <w:t xml:space="preserve"> Participações S.A., </w:t>
            </w:r>
            <w:r w:rsidRPr="00F12B68">
              <w:rPr>
                <w:rFonts w:ascii="Times New Roman" w:hAnsi="Times New Roman" w:cs="Times New Roman"/>
                <w:szCs w:val="26"/>
              </w:rPr>
              <w:t>" ("</w:t>
            </w:r>
            <w:r w:rsidRPr="00F12B68">
              <w:rPr>
                <w:rFonts w:ascii="Times New Roman" w:hAnsi="Times New Roman" w:cs="Times New Roman"/>
                <w:szCs w:val="26"/>
                <w:u w:val="single"/>
              </w:rPr>
              <w:t>Edital</w:t>
            </w:r>
            <w:r w:rsidRPr="00F12B68">
              <w:rPr>
                <w:rFonts w:ascii="Times New Roman" w:hAnsi="Times New Roman" w:cs="Times New Roman"/>
                <w:szCs w:val="26"/>
              </w:rPr>
              <w:t xml:space="preserve">"), publicado no Diário </w:t>
            </w:r>
            <w:r w:rsidR="00B96849">
              <w:rPr>
                <w:rFonts w:ascii="Times New Roman" w:hAnsi="Times New Roman" w:cs="Times New Roman"/>
                <w:szCs w:val="26"/>
              </w:rPr>
              <w:t xml:space="preserve">de Notícias </w:t>
            </w:r>
            <w:r w:rsidRPr="00F12B68">
              <w:rPr>
                <w:rFonts w:ascii="Times New Roman" w:hAnsi="Times New Roman" w:cs="Times New Roman"/>
                <w:szCs w:val="26"/>
              </w:rPr>
              <w:t xml:space="preserve">em </w:t>
            </w:r>
            <w:r w:rsidR="00B96849">
              <w:rPr>
                <w:rFonts w:ascii="Times New Roman" w:hAnsi="Times New Roman" w:cs="Times New Roman"/>
                <w:szCs w:val="26"/>
              </w:rPr>
              <w:t>5 de maio</w:t>
            </w:r>
            <w:r w:rsidRPr="00F12B68">
              <w:rPr>
                <w:rFonts w:ascii="Times New Roman" w:hAnsi="Times New Roman" w:cs="Times New Roman"/>
                <w:szCs w:val="26"/>
              </w:rPr>
              <w:t> de 2017.</w:t>
            </w:r>
          </w:p>
          <w:p w:rsidR="00583210" w:rsidRPr="00915FFB" w:rsidRDefault="00617F4B" w:rsidP="00C86D4E">
            <w:pPr>
              <w:widowControl w:val="0"/>
              <w:spacing w:after="120"/>
              <w:jc w:val="both"/>
              <w:rPr>
                <w:rFonts w:ascii="Times New Roman" w:hAnsi="Times New Roman" w:cs="Times New Roman"/>
                <w:b/>
                <w:szCs w:val="26"/>
              </w:rPr>
            </w:pPr>
            <w:r w:rsidRPr="00915FFB">
              <w:rPr>
                <w:rFonts w:ascii="Times New Roman" w:hAnsi="Times New Roman" w:cs="Times New Roman"/>
                <w:b/>
                <w:szCs w:val="26"/>
              </w:rPr>
              <w:t>Termos iniciados por letra maiúscula utilizados neste Formulário de Manifest</w:t>
            </w:r>
            <w:r w:rsidR="00FE056F" w:rsidRPr="00915FFB">
              <w:rPr>
                <w:rFonts w:ascii="Times New Roman" w:hAnsi="Times New Roman" w:cs="Times New Roman"/>
                <w:b/>
                <w:szCs w:val="26"/>
              </w:rPr>
              <w:t>aç</w:t>
            </w:r>
            <w:r w:rsidRPr="00915FFB">
              <w:rPr>
                <w:rFonts w:ascii="Times New Roman" w:hAnsi="Times New Roman" w:cs="Times New Roman"/>
                <w:b/>
                <w:szCs w:val="26"/>
              </w:rPr>
              <w:t xml:space="preserve">ão </w:t>
            </w:r>
            <w:r w:rsidR="00FE056F" w:rsidRPr="00915FFB">
              <w:rPr>
                <w:rFonts w:ascii="Times New Roman" w:hAnsi="Times New Roman" w:cs="Times New Roman"/>
                <w:b/>
                <w:szCs w:val="26"/>
              </w:rPr>
              <w:t xml:space="preserve">que não estiverem aqui definidos têm o significado que lhes foi atribuído no </w:t>
            </w:r>
            <w:r w:rsidR="00CD7806" w:rsidRPr="00915FFB">
              <w:rPr>
                <w:rFonts w:ascii="Times New Roman" w:hAnsi="Times New Roman" w:cs="Times New Roman"/>
                <w:b/>
                <w:szCs w:val="26"/>
              </w:rPr>
              <w:t>Edital.</w:t>
            </w:r>
          </w:p>
        </w:tc>
      </w:tr>
    </w:tbl>
    <w:p w:rsidR="006E0F10" w:rsidRPr="00F12B68" w:rsidRDefault="006E0F10" w:rsidP="00C86D4E">
      <w:pPr>
        <w:widowControl w:val="0"/>
        <w:spacing w:after="120" w:line="240" w:lineRule="auto"/>
        <w:jc w:val="both"/>
        <w:rPr>
          <w:rFonts w:ascii="Times New Roman" w:hAnsi="Times New Roman" w:cs="Times New Roman"/>
          <w:szCs w:val="26"/>
        </w:rPr>
      </w:pPr>
    </w:p>
    <w:p w:rsidR="00915FFB" w:rsidRDefault="00915FFB" w:rsidP="00C86D4E">
      <w:pPr>
        <w:widowControl w:val="0"/>
        <w:spacing w:after="120" w:line="240" w:lineRule="auto"/>
        <w:jc w:val="both"/>
        <w:rPr>
          <w:rFonts w:ascii="Times New Roman" w:hAnsi="Times New Roman" w:cs="Times New Roman"/>
          <w:szCs w:val="26"/>
        </w:rPr>
      </w:pPr>
    </w:p>
    <w:p w:rsidR="00915FFB" w:rsidRDefault="00915FFB" w:rsidP="00C86D4E">
      <w:pPr>
        <w:widowControl w:val="0"/>
        <w:spacing w:after="120" w:line="240" w:lineRule="auto"/>
        <w:jc w:val="both"/>
        <w:rPr>
          <w:rFonts w:ascii="Times New Roman" w:hAnsi="Times New Roman" w:cs="Times New Roman"/>
          <w:szCs w:val="26"/>
        </w:rPr>
      </w:pPr>
    </w:p>
    <w:p w:rsidR="00CF1FD9" w:rsidRPr="00915FFB" w:rsidRDefault="00915FFB" w:rsidP="00C86D4E">
      <w:pPr>
        <w:widowControl w:val="0"/>
        <w:spacing w:after="120" w:line="240" w:lineRule="auto"/>
        <w:jc w:val="center"/>
        <w:rPr>
          <w:rFonts w:ascii="Times New Roman" w:hAnsi="Times New Roman" w:cs="Times New Roman"/>
          <w:b/>
          <w:szCs w:val="26"/>
        </w:rPr>
      </w:pPr>
      <w:r w:rsidRPr="00915FFB">
        <w:rPr>
          <w:rFonts w:ascii="Times New Roman" w:hAnsi="Times New Roman" w:cs="Times New Roman"/>
          <w:b/>
          <w:szCs w:val="26"/>
        </w:rPr>
        <w:t xml:space="preserve">INFORMAÇÕES DO TITULAR DE AÇÕES </w:t>
      </w:r>
      <w:r w:rsidR="00790C9A">
        <w:rPr>
          <w:rFonts w:ascii="Times New Roman" w:hAnsi="Times New Roman" w:cs="Times New Roman"/>
          <w:b/>
          <w:szCs w:val="26"/>
        </w:rPr>
        <w:t>EM CIRCULAÇÃO</w:t>
      </w:r>
      <w:r w:rsidR="00CF1FD9">
        <w:rPr>
          <w:rFonts w:ascii="Times New Roman" w:hAnsi="Times New Roman" w:cs="Times New Roman"/>
          <w:b/>
          <w:szCs w:val="26"/>
        </w:rPr>
        <w:br/>
      </w:r>
      <w:r w:rsidR="00CF1FD9" w:rsidRPr="00CF1FD9">
        <w:rPr>
          <w:rFonts w:ascii="Times New Roman" w:hAnsi="Times New Roman" w:cs="Times New Roman"/>
          <w:szCs w:val="26"/>
        </w:rPr>
        <w:t>("</w:t>
      </w:r>
      <w:r w:rsidR="00CF1FD9">
        <w:rPr>
          <w:rFonts w:ascii="Times New Roman" w:hAnsi="Times New Roman" w:cs="Times New Roman"/>
          <w:szCs w:val="26"/>
          <w:u w:val="single"/>
        </w:rPr>
        <w:t>Titular</w:t>
      </w:r>
      <w:r w:rsidR="00CF1FD9" w:rsidRPr="00CF1FD9">
        <w:rPr>
          <w:rFonts w:ascii="Times New Roman" w:hAnsi="Times New Roman" w:cs="Times New Roman"/>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4826"/>
      </w:tblGrid>
      <w:tr w:rsidR="00574B2D" w:rsidRPr="009A7ABD" w:rsidTr="00574B2D">
        <w:tc>
          <w:tcPr>
            <w:tcW w:w="3705" w:type="dxa"/>
          </w:tcPr>
          <w:p w:rsidR="00574B2D" w:rsidRPr="009A6CCF" w:rsidRDefault="00574B2D" w:rsidP="00C86D4E">
            <w:pPr>
              <w:keepNext/>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Nome Completo/Denominação Social:</w:t>
            </w:r>
          </w:p>
        </w:tc>
        <w:tc>
          <w:tcPr>
            <w:tcW w:w="5015" w:type="dxa"/>
          </w:tcPr>
          <w:p w:rsidR="00574B2D" w:rsidRPr="009A6CCF" w:rsidRDefault="00574B2D" w:rsidP="00C86D4E">
            <w:pPr>
              <w:keepNext/>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Nacionalidade:</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Data de Nascimento</w:t>
            </w:r>
            <w:r w:rsidR="002B5228" w:rsidRPr="009A6CCF">
              <w:rPr>
                <w:rFonts w:ascii="Times New Roman" w:hAnsi="Times New Roman"/>
                <w:b/>
                <w:bCs/>
                <w:sz w:val="18"/>
                <w:szCs w:val="16"/>
              </w:rPr>
              <w:t>/Constituição</w:t>
            </w:r>
            <w:r w:rsidRPr="009A6CCF">
              <w:rPr>
                <w:rFonts w:ascii="Times New Roman" w:hAnsi="Times New Roman"/>
                <w:b/>
                <w:bCs/>
                <w:sz w:val="18"/>
                <w:szCs w:val="16"/>
              </w:rPr>
              <w:t>:</w:t>
            </w:r>
          </w:p>
        </w:tc>
        <w:tc>
          <w:tcPr>
            <w:tcW w:w="5015" w:type="dxa"/>
          </w:tcPr>
          <w:p w:rsidR="00574B2D" w:rsidRPr="009A6CCF" w:rsidRDefault="00574B2D" w:rsidP="00C86D4E">
            <w:pPr>
              <w:autoSpaceDE w:val="0"/>
              <w:autoSpaceDN w:val="0"/>
              <w:adjustRightInd w:val="0"/>
              <w:jc w:val="center"/>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 xml:space="preserve">Sexo:  </w:t>
            </w:r>
          </w:p>
        </w:tc>
        <w:tc>
          <w:tcPr>
            <w:tcW w:w="5015" w:type="dxa"/>
          </w:tcPr>
          <w:p w:rsidR="00574B2D" w:rsidRPr="009A6CCF" w:rsidRDefault="00574B2D" w:rsidP="00C86D4E">
            <w:pPr>
              <w:jc w:val="both"/>
              <w:rPr>
                <w:rFonts w:ascii="Times New Roman" w:hAnsi="Times New Roman"/>
                <w:sz w:val="18"/>
              </w:rPr>
            </w:pPr>
            <w:r w:rsidRPr="009A6CCF">
              <w:rPr>
                <w:rFonts w:ascii="Times New Roman" w:hAnsi="Times New Roman"/>
                <w:sz w:val="18"/>
              </w:rPr>
              <w:t xml:space="preserve">(  </w:t>
            </w:r>
            <w:r w:rsidR="009A6CCF">
              <w:rPr>
                <w:rFonts w:ascii="Times New Roman" w:hAnsi="Times New Roman"/>
                <w:sz w:val="18"/>
              </w:rPr>
              <w:t xml:space="preserve">  ) Feminino</w:t>
            </w:r>
            <w:r w:rsidR="007649CC">
              <w:rPr>
                <w:rFonts w:ascii="Times New Roman" w:hAnsi="Times New Roman"/>
                <w:sz w:val="18"/>
              </w:rPr>
              <w:tab/>
            </w:r>
            <w:r w:rsidR="007649CC">
              <w:rPr>
                <w:rFonts w:ascii="Times New Roman" w:hAnsi="Times New Roman"/>
                <w:sz w:val="18"/>
              </w:rPr>
              <w:tab/>
            </w:r>
            <w:r w:rsidRPr="009A6CCF">
              <w:rPr>
                <w:rFonts w:ascii="Times New Roman" w:hAnsi="Times New Roman"/>
                <w:sz w:val="18"/>
              </w:rPr>
              <w:t>(    ) Masculino</w:t>
            </w: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Estado Civil:</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Nome do Cônjuge:</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Documento de Identidade/Tipo de Documento/Órgão Emissor:</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CPF/CNPJ:</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color w:val="000000"/>
                <w:sz w:val="18"/>
                <w:szCs w:val="16"/>
              </w:rPr>
            </w:pPr>
            <w:r w:rsidRPr="009A6CCF">
              <w:rPr>
                <w:rFonts w:ascii="Times New Roman" w:hAnsi="Times New Roman"/>
                <w:b/>
                <w:bCs/>
                <w:i/>
                <w:iCs/>
                <w:sz w:val="18"/>
                <w:szCs w:val="16"/>
              </w:rPr>
              <w:t>E-Mail</w:t>
            </w:r>
            <w:r w:rsidRPr="009A6CCF">
              <w:rPr>
                <w:rFonts w:ascii="Times New Roman" w:hAnsi="Times New Roman"/>
                <w:b/>
                <w:bCs/>
                <w:sz w:val="18"/>
                <w:szCs w:val="16"/>
              </w:rPr>
              <w:t>:</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Fac-símile (Cód. Área e Número):</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Telefone (Cód. Área e Número):</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Endereço/Cidade/Estado/CEP:</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Nome do(s) Representante(s) Legal(is) (se houver):</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1"/>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Documento de Identidade/Tipo de Documento/Órgão Emissor:</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1"/>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CPF/CNPJ:</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1"/>
                <w:numId w:val="6"/>
              </w:numPr>
              <w:tabs>
                <w:tab w:val="clear" w:pos="709"/>
              </w:tabs>
              <w:autoSpaceDE w:val="0"/>
              <w:autoSpaceDN w:val="0"/>
              <w:adjustRightInd w:val="0"/>
              <w:spacing w:after="100" w:line="240" w:lineRule="auto"/>
              <w:ind w:left="357" w:hanging="357"/>
              <w:jc w:val="both"/>
              <w:rPr>
                <w:rFonts w:ascii="Times New Roman" w:hAnsi="Times New Roman"/>
                <w:b/>
                <w:color w:val="000000"/>
                <w:sz w:val="18"/>
                <w:szCs w:val="16"/>
              </w:rPr>
            </w:pPr>
            <w:r w:rsidRPr="009A6CCF">
              <w:rPr>
                <w:rFonts w:ascii="Times New Roman" w:hAnsi="Times New Roman"/>
                <w:b/>
                <w:bCs/>
                <w:i/>
                <w:iCs/>
                <w:sz w:val="18"/>
                <w:szCs w:val="16"/>
              </w:rPr>
              <w:t>E-Mail</w:t>
            </w:r>
            <w:r w:rsidRPr="009A6CCF">
              <w:rPr>
                <w:rFonts w:ascii="Times New Roman" w:hAnsi="Times New Roman"/>
                <w:b/>
                <w:bCs/>
                <w:sz w:val="18"/>
                <w:szCs w:val="16"/>
              </w:rPr>
              <w:t>:</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1"/>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Fac-símile (Cód. Área e Número):</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1"/>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Telefone (Cód. Área e Número):</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574B2D" w:rsidRPr="009A7ABD" w:rsidTr="00574B2D">
        <w:tc>
          <w:tcPr>
            <w:tcW w:w="3705" w:type="dxa"/>
          </w:tcPr>
          <w:p w:rsidR="00574B2D" w:rsidRPr="009A6CCF" w:rsidRDefault="00574B2D" w:rsidP="00C86D4E">
            <w:pPr>
              <w:numPr>
                <w:ilvl w:val="1"/>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9A6CCF">
              <w:rPr>
                <w:rFonts w:ascii="Times New Roman" w:hAnsi="Times New Roman"/>
                <w:b/>
                <w:bCs/>
                <w:sz w:val="18"/>
                <w:szCs w:val="16"/>
              </w:rPr>
              <w:t>Endereço/Cidade/Estado/CEP:</w:t>
            </w:r>
          </w:p>
        </w:tc>
        <w:tc>
          <w:tcPr>
            <w:tcW w:w="5015" w:type="dxa"/>
          </w:tcPr>
          <w:p w:rsidR="00574B2D" w:rsidRPr="009A6CCF" w:rsidRDefault="00574B2D" w:rsidP="00C86D4E">
            <w:pPr>
              <w:autoSpaceDE w:val="0"/>
              <w:autoSpaceDN w:val="0"/>
              <w:adjustRightInd w:val="0"/>
              <w:rPr>
                <w:rFonts w:ascii="Times New Roman" w:hAnsi="Times New Roman"/>
                <w:color w:val="000000"/>
                <w:sz w:val="18"/>
                <w:szCs w:val="16"/>
              </w:rPr>
            </w:pPr>
          </w:p>
        </w:tc>
      </w:tr>
      <w:tr w:rsidR="002D73F3" w:rsidRPr="009A7ABD" w:rsidTr="00574B2D">
        <w:tc>
          <w:tcPr>
            <w:tcW w:w="3705" w:type="dxa"/>
          </w:tcPr>
          <w:p w:rsidR="002D73F3" w:rsidRPr="00C60E2C" w:rsidRDefault="002D73F3" w:rsidP="00C86D4E">
            <w:pPr>
              <w:numPr>
                <w:ilvl w:val="0"/>
                <w:numId w:val="6"/>
              </w:numPr>
              <w:tabs>
                <w:tab w:val="clear" w:pos="709"/>
              </w:tabs>
              <w:autoSpaceDE w:val="0"/>
              <w:autoSpaceDN w:val="0"/>
              <w:adjustRightInd w:val="0"/>
              <w:spacing w:after="100" w:line="240" w:lineRule="auto"/>
              <w:ind w:left="357" w:hanging="357"/>
              <w:jc w:val="both"/>
              <w:rPr>
                <w:rFonts w:ascii="Times New Roman Negrito" w:hAnsi="Times New Roman Negrito"/>
                <w:b/>
                <w:bCs/>
                <w:sz w:val="18"/>
                <w:szCs w:val="16"/>
              </w:rPr>
            </w:pPr>
            <w:r>
              <w:rPr>
                <w:rFonts w:ascii="Times New Roman Negrito" w:hAnsi="Times New Roman Negrito"/>
                <w:b/>
                <w:bCs/>
                <w:sz w:val="18"/>
                <w:szCs w:val="16"/>
              </w:rPr>
              <w:t xml:space="preserve">O Titular </w:t>
            </w:r>
            <w:r w:rsidR="00992EEC" w:rsidRPr="00BB6868">
              <w:rPr>
                <w:rFonts w:ascii="Times New Roman Negrito" w:hAnsi="Times New Roman Negrito"/>
                <w:b/>
                <w:bCs/>
                <w:sz w:val="18"/>
                <w:szCs w:val="16"/>
                <w:u w:val="single"/>
              </w:rPr>
              <w:t>NÃO</w:t>
            </w:r>
            <w:r w:rsidR="00992EEC">
              <w:rPr>
                <w:rFonts w:ascii="Times New Roman Negrito" w:hAnsi="Times New Roman Negrito"/>
                <w:b/>
                <w:bCs/>
                <w:sz w:val="18"/>
                <w:szCs w:val="16"/>
              </w:rPr>
              <w:t xml:space="preserve"> </w:t>
            </w:r>
            <w:r>
              <w:rPr>
                <w:rFonts w:ascii="Times New Roman Negrito" w:hAnsi="Times New Roman Negrito"/>
                <w:b/>
                <w:bCs/>
                <w:sz w:val="18"/>
                <w:szCs w:val="16"/>
              </w:rPr>
              <w:t>é:</w:t>
            </w:r>
          </w:p>
        </w:tc>
        <w:tc>
          <w:tcPr>
            <w:tcW w:w="5015" w:type="dxa"/>
          </w:tcPr>
          <w:p w:rsidR="002D73F3" w:rsidRPr="009A6CCF" w:rsidRDefault="002D73F3" w:rsidP="00C86D4E">
            <w:pPr>
              <w:autoSpaceDE w:val="0"/>
              <w:autoSpaceDN w:val="0"/>
              <w:adjustRightInd w:val="0"/>
              <w:jc w:val="both"/>
              <w:rPr>
                <w:rFonts w:ascii="Times New Roman" w:hAnsi="Times New Roman"/>
                <w:color w:val="000000"/>
                <w:sz w:val="18"/>
                <w:szCs w:val="16"/>
              </w:rPr>
            </w:pPr>
            <w:r w:rsidRPr="009A6CCF">
              <w:rPr>
                <w:rFonts w:ascii="Times New Roman" w:hAnsi="Times New Roman"/>
                <w:sz w:val="18"/>
              </w:rPr>
              <w:t xml:space="preserve">(  </w:t>
            </w:r>
            <w:r>
              <w:rPr>
                <w:rFonts w:ascii="Times New Roman" w:hAnsi="Times New Roman"/>
                <w:sz w:val="18"/>
              </w:rPr>
              <w:t xml:space="preserve">  )</w:t>
            </w:r>
            <w:r>
              <w:rPr>
                <w:rFonts w:ascii="Times New Roman" w:hAnsi="Times New Roman"/>
                <w:color w:val="000000"/>
                <w:sz w:val="18"/>
                <w:szCs w:val="16"/>
              </w:rPr>
              <w:tab/>
            </w:r>
            <w:r w:rsidR="00992EEC">
              <w:rPr>
                <w:rFonts w:ascii="Times New Roman" w:hAnsi="Times New Roman"/>
                <w:color w:val="000000"/>
                <w:sz w:val="18"/>
                <w:szCs w:val="16"/>
              </w:rPr>
              <w:t xml:space="preserve">pessoa vinculada à Ofertante </w:t>
            </w:r>
            <w:r w:rsidR="00BB6868">
              <w:rPr>
                <w:rFonts w:ascii="Times New Roman" w:hAnsi="Times New Roman"/>
                <w:color w:val="000000"/>
                <w:sz w:val="18"/>
                <w:szCs w:val="16"/>
              </w:rPr>
              <w:t xml:space="preserve">(conforme definido na Instrução CVM 361) </w:t>
            </w:r>
            <w:r w:rsidR="00992EEC">
              <w:rPr>
                <w:rFonts w:ascii="Times New Roman" w:hAnsi="Times New Roman"/>
                <w:color w:val="000000"/>
                <w:sz w:val="18"/>
                <w:szCs w:val="16"/>
              </w:rPr>
              <w:t>ou administrador da Companhia.</w:t>
            </w:r>
          </w:p>
        </w:tc>
      </w:tr>
    </w:tbl>
    <w:p w:rsidR="00574B2D" w:rsidRDefault="00574B2D" w:rsidP="00C86D4E">
      <w:pPr>
        <w:widowControl w:val="0"/>
        <w:spacing w:after="120" w:line="240" w:lineRule="auto"/>
        <w:jc w:val="both"/>
        <w:rPr>
          <w:rFonts w:ascii="Times New Roman" w:hAnsi="Times New Roman" w:cs="Times New Roman"/>
          <w:szCs w:val="26"/>
        </w:rPr>
      </w:pPr>
    </w:p>
    <w:p w:rsidR="00574B2D" w:rsidRPr="004113FD" w:rsidRDefault="00E64BD8" w:rsidP="00C86D4E">
      <w:pPr>
        <w:widowControl w:val="0"/>
        <w:spacing w:after="120" w:line="240" w:lineRule="auto"/>
        <w:jc w:val="center"/>
        <w:rPr>
          <w:rFonts w:ascii="Times New Roman" w:hAnsi="Times New Roman" w:cs="Times New Roman"/>
          <w:b/>
          <w:szCs w:val="26"/>
        </w:rPr>
      </w:pPr>
      <w:r w:rsidRPr="004113FD">
        <w:rPr>
          <w:rFonts w:ascii="Times New Roman" w:hAnsi="Times New Roman" w:cs="Times New Roman"/>
          <w:b/>
          <w:szCs w:val="26"/>
        </w:rPr>
        <w:t xml:space="preserve">AÇÕES </w:t>
      </w:r>
      <w:r w:rsidR="00330713">
        <w:rPr>
          <w:rFonts w:ascii="Times New Roman" w:hAnsi="Times New Roman" w:cs="Times New Roman"/>
          <w:b/>
          <w:szCs w:val="26"/>
        </w:rPr>
        <w:t xml:space="preserve">EM CIRCULAÇÃO </w:t>
      </w:r>
      <w:r w:rsidR="00466724">
        <w:rPr>
          <w:rFonts w:ascii="Times New Roman" w:hAnsi="Times New Roman" w:cs="Times New Roman"/>
          <w:b/>
          <w:szCs w:val="26"/>
        </w:rPr>
        <w:t xml:space="preserve">DE </w:t>
      </w:r>
      <w:r w:rsidR="00CF1FD9">
        <w:rPr>
          <w:rFonts w:ascii="Times New Roman" w:hAnsi="Times New Roman" w:cs="Times New Roman"/>
          <w:b/>
          <w:szCs w:val="26"/>
        </w:rPr>
        <w:t>TITULARIDADE D</w:t>
      </w:r>
      <w:r w:rsidR="002B23A8">
        <w:rPr>
          <w:rFonts w:ascii="Times New Roman" w:hAnsi="Times New Roman" w:cs="Times New Roman"/>
          <w:b/>
          <w:szCs w:val="26"/>
        </w:rPr>
        <w:t>O TITULAR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4857"/>
      </w:tblGrid>
      <w:tr w:rsidR="004113FD" w:rsidRPr="009A7ABD" w:rsidTr="004113FD">
        <w:tc>
          <w:tcPr>
            <w:tcW w:w="3706" w:type="dxa"/>
          </w:tcPr>
          <w:p w:rsidR="004113FD" w:rsidRPr="00C60E2C" w:rsidRDefault="004113FD" w:rsidP="00C86D4E">
            <w:pPr>
              <w:numPr>
                <w:ilvl w:val="0"/>
                <w:numId w:val="6"/>
              </w:numPr>
              <w:tabs>
                <w:tab w:val="clear" w:pos="709"/>
              </w:tabs>
              <w:autoSpaceDE w:val="0"/>
              <w:autoSpaceDN w:val="0"/>
              <w:adjustRightInd w:val="0"/>
              <w:spacing w:after="100" w:line="240" w:lineRule="auto"/>
              <w:ind w:left="357" w:hanging="357"/>
              <w:jc w:val="both"/>
              <w:rPr>
                <w:rFonts w:ascii="Times New Roman Negrito" w:hAnsi="Times New Roman Negrito"/>
                <w:b/>
                <w:bCs/>
                <w:sz w:val="18"/>
                <w:szCs w:val="16"/>
              </w:rPr>
            </w:pPr>
            <w:bookmarkStart w:id="0" w:name="_Ref239003476"/>
            <w:r w:rsidRPr="00C60E2C">
              <w:rPr>
                <w:rFonts w:ascii="Times New Roman Negrito" w:hAnsi="Times New Roman Negrito"/>
                <w:b/>
                <w:bCs/>
                <w:sz w:val="18"/>
                <w:szCs w:val="16"/>
              </w:rPr>
              <w:t>Quantidade de Ações</w:t>
            </w:r>
            <w:r w:rsidR="00FA3339" w:rsidRPr="00C60E2C">
              <w:rPr>
                <w:rFonts w:ascii="Times New Roman Negrito" w:hAnsi="Times New Roman Negrito"/>
                <w:b/>
                <w:bCs/>
                <w:sz w:val="18"/>
                <w:szCs w:val="16"/>
              </w:rPr>
              <w:t xml:space="preserve"> Ordinárias </w:t>
            </w:r>
            <w:r w:rsidR="00C60E2C" w:rsidRPr="00C60E2C">
              <w:rPr>
                <w:rFonts w:ascii="Times New Roman Negrito" w:hAnsi="Times New Roman Negrito" w:cs="Times New Roman"/>
                <w:b/>
                <w:sz w:val="18"/>
                <w:szCs w:val="26"/>
              </w:rPr>
              <w:t>(LFFE3)</w:t>
            </w:r>
            <w:r w:rsidRPr="00C60E2C">
              <w:rPr>
                <w:rFonts w:ascii="Times New Roman Negrito" w:hAnsi="Times New Roman Negrito"/>
                <w:b/>
                <w:bCs/>
                <w:sz w:val="18"/>
                <w:szCs w:val="16"/>
              </w:rPr>
              <w:t>:</w:t>
            </w:r>
            <w:bookmarkEnd w:id="0"/>
          </w:p>
        </w:tc>
        <w:tc>
          <w:tcPr>
            <w:tcW w:w="5014" w:type="dxa"/>
          </w:tcPr>
          <w:p w:rsidR="004113FD" w:rsidRPr="004113FD" w:rsidRDefault="004113FD" w:rsidP="00C86D4E">
            <w:pPr>
              <w:autoSpaceDE w:val="0"/>
              <w:autoSpaceDN w:val="0"/>
              <w:adjustRightInd w:val="0"/>
              <w:rPr>
                <w:rFonts w:ascii="Times New Roman Negrito" w:hAnsi="Times New Roman Negrito"/>
                <w:color w:val="000000"/>
                <w:sz w:val="18"/>
                <w:szCs w:val="16"/>
              </w:rPr>
            </w:pPr>
          </w:p>
        </w:tc>
      </w:tr>
      <w:tr w:rsidR="00FA3339" w:rsidRPr="009A7ABD" w:rsidTr="004113FD">
        <w:tc>
          <w:tcPr>
            <w:tcW w:w="3706" w:type="dxa"/>
          </w:tcPr>
          <w:p w:rsidR="00FA3339" w:rsidRPr="004113FD" w:rsidRDefault="00FA3339" w:rsidP="00C86D4E">
            <w:pPr>
              <w:numPr>
                <w:ilvl w:val="0"/>
                <w:numId w:val="6"/>
              </w:numPr>
              <w:tabs>
                <w:tab w:val="clear" w:pos="709"/>
              </w:tabs>
              <w:autoSpaceDE w:val="0"/>
              <w:autoSpaceDN w:val="0"/>
              <w:adjustRightInd w:val="0"/>
              <w:spacing w:after="100" w:line="240" w:lineRule="auto"/>
              <w:ind w:left="357" w:hanging="357"/>
              <w:jc w:val="both"/>
              <w:rPr>
                <w:rFonts w:ascii="Times New Roman Negrito" w:hAnsi="Times New Roman Negrito"/>
                <w:b/>
                <w:bCs/>
                <w:sz w:val="18"/>
                <w:szCs w:val="16"/>
              </w:rPr>
            </w:pPr>
            <w:r>
              <w:rPr>
                <w:rFonts w:ascii="Times New Roman Negrito" w:hAnsi="Times New Roman Negrito"/>
                <w:b/>
                <w:bCs/>
                <w:sz w:val="18"/>
                <w:szCs w:val="16"/>
              </w:rPr>
              <w:t>Quantidade de Ações Preferenciais</w:t>
            </w:r>
            <w:r w:rsidR="00C60E2C">
              <w:rPr>
                <w:rFonts w:ascii="Times New Roman Negrito" w:hAnsi="Times New Roman Negrito"/>
                <w:b/>
                <w:bCs/>
                <w:sz w:val="18"/>
                <w:szCs w:val="16"/>
              </w:rPr>
              <w:t xml:space="preserve"> (LF</w:t>
            </w:r>
            <w:r w:rsidR="00870CFF">
              <w:rPr>
                <w:rFonts w:ascii="Times New Roman Negrito" w:hAnsi="Times New Roman Negrito"/>
                <w:b/>
                <w:bCs/>
                <w:sz w:val="18"/>
                <w:szCs w:val="16"/>
              </w:rPr>
              <w:t>FE4)</w:t>
            </w:r>
            <w:r>
              <w:rPr>
                <w:rFonts w:ascii="Times New Roman Negrito" w:hAnsi="Times New Roman Negrito"/>
                <w:b/>
                <w:bCs/>
                <w:sz w:val="18"/>
                <w:szCs w:val="16"/>
              </w:rPr>
              <w:t>:</w:t>
            </w:r>
          </w:p>
        </w:tc>
        <w:tc>
          <w:tcPr>
            <w:tcW w:w="5014" w:type="dxa"/>
          </w:tcPr>
          <w:p w:rsidR="00FA3339" w:rsidRPr="004113FD" w:rsidRDefault="00FA3339" w:rsidP="00C86D4E">
            <w:pPr>
              <w:autoSpaceDE w:val="0"/>
              <w:autoSpaceDN w:val="0"/>
              <w:adjustRightInd w:val="0"/>
              <w:rPr>
                <w:rFonts w:ascii="Times New Roman Negrito" w:hAnsi="Times New Roman Negrito"/>
                <w:color w:val="000000"/>
                <w:sz w:val="18"/>
                <w:szCs w:val="16"/>
              </w:rPr>
            </w:pPr>
          </w:p>
        </w:tc>
      </w:tr>
      <w:tr w:rsidR="00870CFF" w:rsidRPr="009A7ABD" w:rsidTr="004113FD">
        <w:tc>
          <w:tcPr>
            <w:tcW w:w="3706" w:type="dxa"/>
          </w:tcPr>
          <w:p w:rsidR="00870CFF" w:rsidRDefault="00870CFF" w:rsidP="00C86D4E">
            <w:pPr>
              <w:numPr>
                <w:ilvl w:val="0"/>
                <w:numId w:val="6"/>
              </w:numPr>
              <w:tabs>
                <w:tab w:val="clear" w:pos="709"/>
              </w:tabs>
              <w:autoSpaceDE w:val="0"/>
              <w:autoSpaceDN w:val="0"/>
              <w:adjustRightInd w:val="0"/>
              <w:spacing w:after="100" w:line="240" w:lineRule="auto"/>
              <w:ind w:left="357" w:hanging="357"/>
              <w:jc w:val="both"/>
              <w:rPr>
                <w:rFonts w:ascii="Times New Roman Negrito" w:hAnsi="Times New Roman Negrito"/>
                <w:b/>
                <w:bCs/>
                <w:sz w:val="18"/>
                <w:szCs w:val="16"/>
              </w:rPr>
            </w:pPr>
            <w:r>
              <w:rPr>
                <w:rFonts w:ascii="Times New Roman Negrito" w:hAnsi="Times New Roman Negrito"/>
                <w:b/>
                <w:bCs/>
                <w:sz w:val="18"/>
                <w:szCs w:val="16"/>
              </w:rPr>
              <w:t>Total:</w:t>
            </w:r>
          </w:p>
        </w:tc>
        <w:tc>
          <w:tcPr>
            <w:tcW w:w="5014" w:type="dxa"/>
          </w:tcPr>
          <w:p w:rsidR="00870CFF" w:rsidRPr="004113FD" w:rsidRDefault="00870CFF" w:rsidP="00C86D4E">
            <w:pPr>
              <w:autoSpaceDE w:val="0"/>
              <w:autoSpaceDN w:val="0"/>
              <w:adjustRightInd w:val="0"/>
              <w:rPr>
                <w:rFonts w:ascii="Times New Roman Negrito" w:hAnsi="Times New Roman Negrito"/>
                <w:color w:val="000000"/>
                <w:sz w:val="18"/>
                <w:szCs w:val="16"/>
              </w:rPr>
            </w:pPr>
          </w:p>
        </w:tc>
      </w:tr>
    </w:tbl>
    <w:p w:rsidR="006A7EE6" w:rsidRDefault="006A7EE6" w:rsidP="00C86D4E">
      <w:pPr>
        <w:widowControl w:val="0"/>
        <w:spacing w:after="120" w:line="240" w:lineRule="auto"/>
        <w:jc w:val="both"/>
        <w:rPr>
          <w:rFonts w:ascii="Times New Roman" w:hAnsi="Times New Roman" w:cs="Times New Roman"/>
          <w:szCs w:val="26"/>
        </w:rPr>
      </w:pPr>
    </w:p>
    <w:p w:rsidR="00870CFF" w:rsidRPr="00870CFF" w:rsidRDefault="00870CFF" w:rsidP="00C86D4E">
      <w:pPr>
        <w:widowControl w:val="0"/>
        <w:spacing w:after="120" w:line="240" w:lineRule="auto"/>
        <w:jc w:val="center"/>
        <w:rPr>
          <w:rFonts w:ascii="Times New Roman" w:hAnsi="Times New Roman" w:cs="Times New Roman"/>
          <w:b/>
          <w:szCs w:val="26"/>
        </w:rPr>
      </w:pPr>
      <w:r w:rsidRPr="00870CFF">
        <w:rPr>
          <w:rFonts w:ascii="Times New Roman" w:hAnsi="Times New Roman" w:cs="Times New Roman"/>
          <w:b/>
          <w:szCs w:val="26"/>
        </w:rPr>
        <w:t>MANIFESTAÇÃO SOBRE O CANCELAMENTO DE REGISTRO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4873"/>
      </w:tblGrid>
      <w:tr w:rsidR="007F3608" w:rsidRPr="004113FD" w:rsidTr="003314C1">
        <w:tc>
          <w:tcPr>
            <w:tcW w:w="3706" w:type="dxa"/>
          </w:tcPr>
          <w:p w:rsidR="007F3608" w:rsidRPr="002D73F3" w:rsidRDefault="008F0395" w:rsidP="00C86D4E">
            <w:pPr>
              <w:numPr>
                <w:ilvl w:val="0"/>
                <w:numId w:val="6"/>
              </w:numPr>
              <w:tabs>
                <w:tab w:val="clear" w:pos="709"/>
              </w:tabs>
              <w:autoSpaceDE w:val="0"/>
              <w:autoSpaceDN w:val="0"/>
              <w:adjustRightInd w:val="0"/>
              <w:spacing w:after="100" w:line="240" w:lineRule="auto"/>
              <w:ind w:left="357" w:hanging="357"/>
              <w:jc w:val="both"/>
              <w:rPr>
                <w:rFonts w:ascii="Times New Roman" w:hAnsi="Times New Roman"/>
                <w:b/>
                <w:bCs/>
                <w:sz w:val="18"/>
                <w:szCs w:val="16"/>
              </w:rPr>
            </w:pPr>
            <w:r w:rsidRPr="002D73F3">
              <w:rPr>
                <w:rFonts w:ascii="Times New Roman" w:hAnsi="Times New Roman"/>
                <w:b/>
                <w:bCs/>
                <w:sz w:val="18"/>
                <w:szCs w:val="16"/>
              </w:rPr>
              <w:lastRenderedPageBreak/>
              <w:t xml:space="preserve">O </w:t>
            </w:r>
            <w:r w:rsidR="002B23A8" w:rsidRPr="002D73F3">
              <w:rPr>
                <w:rFonts w:ascii="Times New Roman" w:hAnsi="Times New Roman"/>
                <w:b/>
                <w:bCs/>
                <w:sz w:val="18"/>
                <w:szCs w:val="16"/>
              </w:rPr>
              <w:t xml:space="preserve">Titular declara </w:t>
            </w:r>
            <w:r w:rsidR="0067252B" w:rsidRPr="002D73F3">
              <w:rPr>
                <w:rFonts w:ascii="Times New Roman" w:hAnsi="Times New Roman"/>
                <w:b/>
                <w:bCs/>
                <w:sz w:val="18"/>
                <w:szCs w:val="16"/>
              </w:rPr>
              <w:t xml:space="preserve">expressamente </w:t>
            </w:r>
            <w:r w:rsidR="002B23A8" w:rsidRPr="002D73F3">
              <w:rPr>
                <w:rFonts w:ascii="Times New Roman" w:hAnsi="Times New Roman"/>
                <w:b/>
                <w:bCs/>
                <w:sz w:val="18"/>
                <w:szCs w:val="16"/>
              </w:rPr>
              <w:t>que:</w:t>
            </w:r>
          </w:p>
        </w:tc>
        <w:tc>
          <w:tcPr>
            <w:tcW w:w="5014" w:type="dxa"/>
          </w:tcPr>
          <w:p w:rsidR="007F3608" w:rsidRPr="0067252B" w:rsidRDefault="002D73F3" w:rsidP="00C86D4E">
            <w:pPr>
              <w:autoSpaceDE w:val="0"/>
              <w:autoSpaceDN w:val="0"/>
              <w:adjustRightInd w:val="0"/>
              <w:jc w:val="both"/>
              <w:rPr>
                <w:rFonts w:ascii="Times New Roman" w:hAnsi="Times New Roman"/>
                <w:color w:val="000000"/>
                <w:sz w:val="18"/>
                <w:szCs w:val="16"/>
              </w:rPr>
            </w:pPr>
            <w:r w:rsidRPr="009A6CCF">
              <w:rPr>
                <w:rFonts w:ascii="Times New Roman" w:hAnsi="Times New Roman"/>
                <w:sz w:val="18"/>
              </w:rPr>
              <w:t xml:space="preserve">(  </w:t>
            </w:r>
            <w:r>
              <w:rPr>
                <w:rFonts w:ascii="Times New Roman" w:hAnsi="Times New Roman"/>
                <w:sz w:val="18"/>
              </w:rPr>
              <w:t xml:space="preserve">  )</w:t>
            </w:r>
            <w:r w:rsidR="002B23A8" w:rsidRPr="0067252B">
              <w:rPr>
                <w:rFonts w:ascii="Times New Roman" w:hAnsi="Times New Roman"/>
                <w:color w:val="000000"/>
                <w:sz w:val="18"/>
                <w:szCs w:val="16"/>
              </w:rPr>
              <w:tab/>
            </w:r>
            <w:r w:rsidR="00003445" w:rsidRPr="0067252B">
              <w:rPr>
                <w:rFonts w:ascii="Times New Roman" w:hAnsi="Times New Roman" w:cs="Times New Roman"/>
                <w:b/>
                <w:smallCaps/>
                <w:sz w:val="18"/>
                <w:szCs w:val="26"/>
                <w:u w:val="single"/>
              </w:rPr>
              <w:t>CONCORDA</w:t>
            </w:r>
            <w:r w:rsidR="00003445" w:rsidRPr="0067252B">
              <w:rPr>
                <w:rFonts w:ascii="Times New Roman" w:hAnsi="Times New Roman" w:cs="Times New Roman"/>
                <w:sz w:val="18"/>
                <w:szCs w:val="26"/>
              </w:rPr>
              <w:t xml:space="preserve"> </w:t>
            </w:r>
            <w:r w:rsidR="002B23A8" w:rsidRPr="0067252B">
              <w:rPr>
                <w:rFonts w:ascii="Times New Roman" w:hAnsi="Times New Roman" w:cs="Times New Roman"/>
                <w:sz w:val="18"/>
                <w:szCs w:val="26"/>
              </w:rPr>
              <w:t>com o Cancelamento de Registro</w:t>
            </w:r>
            <w:r w:rsidR="00003445">
              <w:rPr>
                <w:rFonts w:ascii="Times New Roman" w:hAnsi="Times New Roman" w:cs="Times New Roman"/>
                <w:sz w:val="18"/>
                <w:szCs w:val="26"/>
              </w:rPr>
              <w:t xml:space="preserve"> e </w:t>
            </w:r>
            <w:r w:rsidR="00003445" w:rsidRPr="00003445">
              <w:rPr>
                <w:rFonts w:ascii="Times New Roman" w:hAnsi="Times New Roman" w:cs="Times New Roman"/>
                <w:b/>
                <w:sz w:val="18"/>
                <w:szCs w:val="26"/>
                <w:u w:val="single"/>
              </w:rPr>
              <w:t>NÃO DESEJA</w:t>
            </w:r>
            <w:r w:rsidR="00003445">
              <w:rPr>
                <w:rFonts w:ascii="Times New Roman" w:hAnsi="Times New Roman" w:cs="Times New Roman"/>
                <w:sz w:val="18"/>
                <w:szCs w:val="26"/>
              </w:rPr>
              <w:t xml:space="preserve"> </w:t>
            </w:r>
            <w:r w:rsidR="002B23A8" w:rsidRPr="0067252B">
              <w:rPr>
                <w:rFonts w:ascii="Times New Roman" w:hAnsi="Times New Roman" w:cs="Times New Roman"/>
                <w:sz w:val="18"/>
                <w:szCs w:val="26"/>
              </w:rPr>
              <w:t xml:space="preserve">vender à Ofertante as </w:t>
            </w:r>
            <w:r w:rsidR="00466724" w:rsidRPr="0067252B">
              <w:rPr>
                <w:rFonts w:ascii="Times New Roman" w:hAnsi="Times New Roman" w:cs="Times New Roman"/>
                <w:sz w:val="18"/>
                <w:szCs w:val="26"/>
              </w:rPr>
              <w:t xml:space="preserve">Ações </w:t>
            </w:r>
            <w:r w:rsidR="00330713">
              <w:rPr>
                <w:rFonts w:ascii="Times New Roman" w:hAnsi="Times New Roman" w:cs="Times New Roman"/>
                <w:sz w:val="18"/>
                <w:szCs w:val="26"/>
              </w:rPr>
              <w:t xml:space="preserve">em Circulação </w:t>
            </w:r>
            <w:r w:rsidR="00466724">
              <w:rPr>
                <w:rFonts w:ascii="Times New Roman" w:hAnsi="Times New Roman" w:cs="Times New Roman"/>
                <w:sz w:val="18"/>
                <w:szCs w:val="26"/>
              </w:rPr>
              <w:t xml:space="preserve">de </w:t>
            </w:r>
            <w:r w:rsidR="002B23A8" w:rsidRPr="0067252B">
              <w:rPr>
                <w:rFonts w:ascii="Times New Roman" w:hAnsi="Times New Roman" w:cs="Times New Roman"/>
                <w:sz w:val="18"/>
                <w:szCs w:val="26"/>
              </w:rPr>
              <w:t>sua titularidade</w:t>
            </w:r>
            <w:r w:rsidR="00BB6868">
              <w:rPr>
                <w:rFonts w:ascii="Times New Roman" w:hAnsi="Times New Roman" w:cs="Times New Roman"/>
                <w:sz w:val="18"/>
                <w:szCs w:val="26"/>
              </w:rPr>
              <w:t xml:space="preserve"> no Leilão</w:t>
            </w:r>
            <w:r w:rsidR="002B23A8" w:rsidRPr="0067252B">
              <w:rPr>
                <w:rFonts w:ascii="Times New Roman" w:hAnsi="Times New Roman" w:cs="Times New Roman"/>
                <w:sz w:val="18"/>
                <w:szCs w:val="26"/>
              </w:rPr>
              <w:t>.</w:t>
            </w:r>
          </w:p>
        </w:tc>
      </w:tr>
    </w:tbl>
    <w:p w:rsidR="006A7EE6" w:rsidRDefault="006A7EE6" w:rsidP="00C86D4E">
      <w:pPr>
        <w:widowControl w:val="0"/>
        <w:spacing w:after="120" w:line="240" w:lineRule="auto"/>
        <w:jc w:val="both"/>
        <w:rPr>
          <w:rFonts w:ascii="Times New Roman" w:hAnsi="Times New Roman" w:cs="Times New Roman"/>
          <w:szCs w:val="26"/>
        </w:rPr>
      </w:pPr>
    </w:p>
    <w:p w:rsidR="00003445" w:rsidRDefault="00003445" w:rsidP="00C86D4E">
      <w:pPr>
        <w:widowControl w:val="0"/>
        <w:spacing w:after="120" w:line="240" w:lineRule="auto"/>
        <w:jc w:val="center"/>
        <w:rPr>
          <w:rFonts w:ascii="Times New Roman" w:hAnsi="Times New Roman" w:cs="Times New Roman"/>
          <w:b/>
          <w:szCs w:val="26"/>
        </w:rPr>
      </w:pPr>
      <w:r w:rsidRPr="00003445">
        <w:rPr>
          <w:rFonts w:ascii="Times New Roman" w:hAnsi="Times New Roman" w:cs="Times New Roman"/>
          <w:b/>
          <w:szCs w:val="26"/>
        </w:rPr>
        <w:t>DECLARAÇÕES DO TITULAR</w:t>
      </w:r>
    </w:p>
    <w:p w:rsidR="0098022C" w:rsidRPr="00C86D4E" w:rsidRDefault="0098022C" w:rsidP="00C86D4E">
      <w:pPr>
        <w:pStyle w:val="PargrafodaLista"/>
        <w:widowControl w:val="0"/>
        <w:numPr>
          <w:ilvl w:val="0"/>
          <w:numId w:val="6"/>
        </w:numPr>
        <w:spacing w:after="120" w:line="240" w:lineRule="auto"/>
        <w:contextualSpacing w:val="0"/>
        <w:jc w:val="both"/>
        <w:rPr>
          <w:rFonts w:ascii="Times New Roman" w:hAnsi="Times New Roman" w:cs="Times New Roman"/>
          <w:szCs w:val="26"/>
        </w:rPr>
      </w:pPr>
      <w:r w:rsidRPr="00B41D5E">
        <w:rPr>
          <w:rFonts w:ascii="Times New Roman" w:hAnsi="Times New Roman"/>
          <w:bCs/>
          <w:szCs w:val="16"/>
        </w:rPr>
        <w:t>O Titular declara adicionalmente que:</w:t>
      </w:r>
    </w:p>
    <w:p w:rsidR="00585AD8" w:rsidRDefault="000E47D3" w:rsidP="00C86D4E">
      <w:pPr>
        <w:pStyle w:val="PargrafodaLista"/>
        <w:widowControl w:val="0"/>
        <w:numPr>
          <w:ilvl w:val="0"/>
          <w:numId w:val="7"/>
        </w:numPr>
        <w:spacing w:after="120" w:line="240" w:lineRule="auto"/>
        <w:contextualSpacing w:val="0"/>
        <w:jc w:val="both"/>
        <w:rPr>
          <w:rFonts w:ascii="Times New Roman" w:hAnsi="Times New Roman" w:cs="Times New Roman"/>
          <w:b/>
          <w:szCs w:val="26"/>
        </w:rPr>
      </w:pPr>
      <w:r>
        <w:rPr>
          <w:rFonts w:ascii="Times New Roman" w:hAnsi="Times New Roman" w:cs="Times New Roman"/>
          <w:b/>
          <w:szCs w:val="26"/>
        </w:rPr>
        <w:t xml:space="preserve">está ciente de </w:t>
      </w:r>
      <w:r w:rsidR="00585AD8" w:rsidRPr="00AD20FB">
        <w:rPr>
          <w:rFonts w:ascii="Times New Roman" w:hAnsi="Times New Roman" w:cs="Times New Roman"/>
          <w:b/>
          <w:szCs w:val="26"/>
        </w:rPr>
        <w:t xml:space="preserve">que as Ações em Circulação de sua titularidade estarão indisponíveis para </w:t>
      </w:r>
      <w:r w:rsidR="00AD20FB">
        <w:rPr>
          <w:rFonts w:ascii="Times New Roman" w:hAnsi="Times New Roman" w:cs="Times New Roman"/>
          <w:b/>
          <w:szCs w:val="26"/>
        </w:rPr>
        <w:t xml:space="preserve">negociação </w:t>
      </w:r>
      <w:r w:rsidR="00585AD8" w:rsidRPr="00AD20FB">
        <w:rPr>
          <w:rFonts w:ascii="Times New Roman" w:hAnsi="Times New Roman" w:cs="Times New Roman"/>
          <w:b/>
          <w:szCs w:val="26"/>
        </w:rPr>
        <w:t>desde a Data do Leilão até a Data de Liquidação</w:t>
      </w:r>
      <w:r>
        <w:rPr>
          <w:rFonts w:ascii="Times New Roman" w:hAnsi="Times New Roman" w:cs="Times New Roman"/>
          <w:b/>
          <w:szCs w:val="26"/>
        </w:rPr>
        <w:t>;</w:t>
      </w:r>
    </w:p>
    <w:p w:rsidR="000E47D3" w:rsidRPr="00086614" w:rsidRDefault="000E47D3" w:rsidP="00C86D4E">
      <w:pPr>
        <w:pStyle w:val="PargrafodaLista"/>
        <w:widowControl w:val="0"/>
        <w:numPr>
          <w:ilvl w:val="0"/>
          <w:numId w:val="7"/>
        </w:numPr>
        <w:spacing w:after="120" w:line="240" w:lineRule="auto"/>
        <w:contextualSpacing w:val="0"/>
        <w:jc w:val="both"/>
        <w:rPr>
          <w:rFonts w:ascii="Times New Roman" w:hAnsi="Times New Roman" w:cs="Times New Roman"/>
          <w:b/>
          <w:szCs w:val="26"/>
        </w:rPr>
      </w:pPr>
      <w:r w:rsidRPr="000E47D3">
        <w:rPr>
          <w:rFonts w:ascii="Times New Roman" w:hAnsi="Times New Roman" w:cs="Times New Roman"/>
          <w:b/>
          <w:szCs w:val="26"/>
        </w:rPr>
        <w:t>está ciente de que, após o Cancelamento de Registro, não será</w:t>
      </w:r>
      <w:r>
        <w:rPr>
          <w:rFonts w:ascii="Times New Roman" w:hAnsi="Times New Roman" w:cs="Times New Roman"/>
          <w:b/>
          <w:szCs w:val="26"/>
        </w:rPr>
        <w:t xml:space="preserve"> mais</w:t>
      </w:r>
      <w:r w:rsidRPr="000E47D3">
        <w:rPr>
          <w:rFonts w:ascii="Times New Roman" w:hAnsi="Times New Roman" w:cs="Times New Roman"/>
          <w:b/>
          <w:szCs w:val="26"/>
        </w:rPr>
        <w:t xml:space="preserve"> possível negociar as Ações</w:t>
      </w:r>
      <w:r>
        <w:rPr>
          <w:rFonts w:ascii="Times New Roman" w:hAnsi="Times New Roman" w:cs="Times New Roman"/>
          <w:b/>
          <w:szCs w:val="26"/>
        </w:rPr>
        <w:t xml:space="preserve"> em Circulação</w:t>
      </w:r>
      <w:r w:rsidRPr="000E47D3">
        <w:rPr>
          <w:rFonts w:ascii="Times New Roman" w:hAnsi="Times New Roman" w:cs="Times New Roman"/>
          <w:b/>
          <w:szCs w:val="26"/>
        </w:rPr>
        <w:t xml:space="preserve"> de sua titularidade na BM&amp;FBOVESPA</w:t>
      </w:r>
      <w:r w:rsidRPr="00916116">
        <w:rPr>
          <w:rFonts w:ascii="Times New Roman" w:hAnsi="Times New Roman" w:cs="Times New Roman"/>
          <w:szCs w:val="26"/>
        </w:rPr>
        <w:t>;</w:t>
      </w:r>
    </w:p>
    <w:p w:rsidR="00E60AA5" w:rsidRPr="00086614" w:rsidRDefault="00E60AA5" w:rsidP="00086614">
      <w:pPr>
        <w:pStyle w:val="PargrafodaLista"/>
        <w:widowControl w:val="0"/>
        <w:numPr>
          <w:ilvl w:val="0"/>
          <w:numId w:val="7"/>
        </w:numPr>
        <w:spacing w:after="120" w:line="240" w:lineRule="auto"/>
        <w:contextualSpacing w:val="0"/>
        <w:jc w:val="both"/>
        <w:rPr>
          <w:rFonts w:ascii="Times New Roman" w:hAnsi="Times New Roman" w:cs="Times New Roman"/>
          <w:szCs w:val="26"/>
        </w:rPr>
      </w:pPr>
      <w:r w:rsidRPr="00086614">
        <w:rPr>
          <w:rFonts w:ascii="Times New Roman" w:hAnsi="Times New Roman" w:cs="Times New Roman"/>
          <w:szCs w:val="26"/>
        </w:rPr>
        <w:t>obteve exemplar do Edital e do Laudo de Avaliação e tem conhecimento de seu inteiro teor;</w:t>
      </w:r>
      <w:r w:rsidR="00086614">
        <w:rPr>
          <w:rFonts w:ascii="Times New Roman" w:hAnsi="Times New Roman" w:cs="Times New Roman"/>
          <w:szCs w:val="26"/>
        </w:rPr>
        <w:t xml:space="preserve"> e</w:t>
      </w:r>
    </w:p>
    <w:p w:rsidR="00917628" w:rsidRDefault="00917628" w:rsidP="00475F10">
      <w:pPr>
        <w:pStyle w:val="PargrafodaLista"/>
        <w:widowControl w:val="0"/>
        <w:numPr>
          <w:ilvl w:val="0"/>
          <w:numId w:val="7"/>
        </w:numPr>
        <w:spacing w:after="120" w:line="240" w:lineRule="auto"/>
        <w:contextualSpacing w:val="0"/>
        <w:jc w:val="both"/>
        <w:rPr>
          <w:rFonts w:ascii="Times New Roman" w:hAnsi="Times New Roman" w:cs="Times New Roman"/>
          <w:szCs w:val="26"/>
        </w:rPr>
      </w:pPr>
      <w:r w:rsidRPr="00475F10">
        <w:rPr>
          <w:rFonts w:ascii="Times New Roman" w:hAnsi="Times New Roman" w:cs="Times New Roman"/>
          <w:szCs w:val="26"/>
        </w:rPr>
        <w:t xml:space="preserve">as informações </w:t>
      </w:r>
      <w:r w:rsidR="00C86D4E" w:rsidRPr="00475F10">
        <w:rPr>
          <w:rFonts w:ascii="Times New Roman" w:hAnsi="Times New Roman" w:cs="Times New Roman"/>
          <w:szCs w:val="26"/>
        </w:rPr>
        <w:t xml:space="preserve">prestadas </w:t>
      </w:r>
      <w:r w:rsidR="00F17A2B" w:rsidRPr="00475F10">
        <w:rPr>
          <w:rFonts w:ascii="Times New Roman" w:hAnsi="Times New Roman" w:cs="Times New Roman"/>
          <w:szCs w:val="26"/>
        </w:rPr>
        <w:t xml:space="preserve">neste Formulário de Manifestação são </w:t>
      </w:r>
      <w:r w:rsidR="00A84962" w:rsidRPr="00475F10">
        <w:rPr>
          <w:rFonts w:ascii="Times New Roman" w:hAnsi="Times New Roman" w:cs="Times New Roman"/>
          <w:szCs w:val="26"/>
        </w:rPr>
        <w:t>verdadeiras, consistente</w:t>
      </w:r>
      <w:r w:rsidR="00AF126A" w:rsidRPr="00475F10">
        <w:rPr>
          <w:rFonts w:ascii="Times New Roman" w:hAnsi="Times New Roman" w:cs="Times New Roman"/>
          <w:szCs w:val="26"/>
        </w:rPr>
        <w:t xml:space="preserve">, corretas </w:t>
      </w:r>
      <w:r w:rsidR="00086614">
        <w:rPr>
          <w:rFonts w:ascii="Times New Roman" w:hAnsi="Times New Roman" w:cs="Times New Roman"/>
          <w:szCs w:val="26"/>
        </w:rPr>
        <w:t>e suficientes.</w:t>
      </w:r>
    </w:p>
    <w:p w:rsidR="00B66269" w:rsidRPr="00B66269" w:rsidRDefault="00B66269" w:rsidP="00075F63">
      <w:pPr>
        <w:pStyle w:val="PargrafodaLista"/>
        <w:widowControl w:val="0"/>
        <w:numPr>
          <w:ilvl w:val="0"/>
          <w:numId w:val="6"/>
        </w:numPr>
        <w:spacing w:after="120" w:line="240" w:lineRule="auto"/>
        <w:contextualSpacing w:val="0"/>
        <w:jc w:val="both"/>
        <w:rPr>
          <w:rFonts w:ascii="Times New Roman" w:hAnsi="Times New Roman" w:cs="Times New Roman"/>
          <w:szCs w:val="26"/>
        </w:rPr>
      </w:pPr>
      <w:r>
        <w:rPr>
          <w:rFonts w:ascii="Times New Roman" w:hAnsi="Times New Roman" w:cs="Times New Roman"/>
          <w:szCs w:val="26"/>
        </w:rPr>
        <w:t xml:space="preserve">Este </w:t>
      </w:r>
      <w:r>
        <w:rPr>
          <w:rFonts w:ascii="Times New Roman" w:eastAsia="Arial Narrow" w:hAnsi="Times New Roman"/>
          <w:color w:val="000000"/>
          <w:szCs w:val="26"/>
        </w:rPr>
        <w:t>Formulário de Manifestação é irrevogável e irretratável, observados os termos deste Formulário de Manifestação e do Edital.</w:t>
      </w:r>
    </w:p>
    <w:p w:rsidR="00075F63" w:rsidRPr="00C86D4E" w:rsidRDefault="004F3590" w:rsidP="00075F63">
      <w:pPr>
        <w:pStyle w:val="PargrafodaLista"/>
        <w:widowControl w:val="0"/>
        <w:numPr>
          <w:ilvl w:val="0"/>
          <w:numId w:val="6"/>
        </w:numPr>
        <w:spacing w:after="120" w:line="240" w:lineRule="auto"/>
        <w:contextualSpacing w:val="0"/>
        <w:jc w:val="both"/>
        <w:rPr>
          <w:rFonts w:ascii="Times New Roman" w:hAnsi="Times New Roman" w:cs="Times New Roman"/>
          <w:szCs w:val="26"/>
        </w:rPr>
      </w:pPr>
      <w:r>
        <w:rPr>
          <w:rFonts w:ascii="Times New Roman" w:hAnsi="Times New Roman"/>
          <w:bCs/>
          <w:szCs w:val="16"/>
        </w:rPr>
        <w:t xml:space="preserve">Fica eleito o foro </w:t>
      </w:r>
      <w:r w:rsidRPr="00075F63">
        <w:rPr>
          <w:rFonts w:ascii="Times New Roman" w:eastAsia="Arial Narrow" w:hAnsi="Times New Roman"/>
          <w:color w:val="000000"/>
          <w:szCs w:val="26"/>
        </w:rPr>
        <w:t xml:space="preserve">da Comarca da Cidade e Estado de São Paulo como o único competente para dirimir as dúvidas decorrentes deste </w:t>
      </w:r>
      <w:r>
        <w:rPr>
          <w:rFonts w:ascii="Times New Roman" w:eastAsia="Arial Narrow" w:hAnsi="Times New Roman"/>
          <w:color w:val="000000"/>
          <w:szCs w:val="26"/>
        </w:rPr>
        <w:t>Formulário de Manifestação</w:t>
      </w:r>
      <w:r w:rsidRPr="00075F63">
        <w:rPr>
          <w:rFonts w:ascii="Times New Roman" w:eastAsia="Arial Narrow" w:hAnsi="Times New Roman"/>
          <w:color w:val="000000"/>
          <w:szCs w:val="26"/>
        </w:rPr>
        <w:t>.</w:t>
      </w:r>
    </w:p>
    <w:p w:rsidR="00075F63" w:rsidRDefault="00075F63" w:rsidP="00C86D4E">
      <w:pPr>
        <w:widowControl w:val="0"/>
        <w:spacing w:after="120" w:line="240" w:lineRule="auto"/>
        <w:jc w:val="both"/>
        <w:rPr>
          <w:rFonts w:ascii="Times New Roman" w:hAnsi="Times New Roman" w:cs="Times New Roman"/>
          <w:szCs w:val="26"/>
        </w:rPr>
      </w:pPr>
    </w:p>
    <w:p w:rsidR="009A35F2" w:rsidRDefault="009A35F2" w:rsidP="009A35F2">
      <w:pPr>
        <w:spacing w:after="120" w:line="240" w:lineRule="auto"/>
        <w:ind w:right="-44"/>
        <w:jc w:val="both"/>
        <w:rPr>
          <w:rFonts w:ascii="Times New Roman" w:hAnsi="Times New Roman"/>
        </w:rPr>
      </w:pPr>
      <w:bookmarkStart w:id="1" w:name="_Ref468884510"/>
      <w:r>
        <w:rPr>
          <w:rFonts w:ascii="Times New Roman" w:hAnsi="Times New Roman"/>
        </w:rPr>
        <w:t xml:space="preserve">O </w:t>
      </w:r>
      <w:r w:rsidRPr="009A35F2">
        <w:rPr>
          <w:rFonts w:ascii="Times New Roman" w:hAnsi="Times New Roman"/>
        </w:rPr>
        <w:t>Edital</w:t>
      </w:r>
      <w:r>
        <w:rPr>
          <w:rFonts w:ascii="Times New Roman" w:hAnsi="Times New Roman"/>
        </w:rPr>
        <w:t>,</w:t>
      </w:r>
      <w:r w:rsidRPr="009A35F2">
        <w:rPr>
          <w:rFonts w:ascii="Times New Roman" w:hAnsi="Times New Roman"/>
        </w:rPr>
        <w:t xml:space="preserve"> o Laudo de Avaliação</w:t>
      </w:r>
      <w:r>
        <w:rPr>
          <w:rFonts w:ascii="Times New Roman" w:hAnsi="Times New Roman"/>
        </w:rPr>
        <w:t xml:space="preserve"> </w:t>
      </w:r>
      <w:r w:rsidRPr="009A35F2">
        <w:rPr>
          <w:rFonts w:ascii="Times New Roman" w:hAnsi="Times New Roman"/>
        </w:rPr>
        <w:t>e a lista de acionistas da Companhia estão à disposição de qualquer pessoa interessada (sendo que a lista de acionistas da Companhia somente será disponibilizada aos interessados que comparecerem aos endereços mencionados abaixo e apenas mediante identificação e recibo assinados pela parte interessada, conforme estabelecido na Instrução CVM 361) nos endereços abaixo:</w:t>
      </w:r>
      <w:bookmarkEnd w:id="1"/>
    </w:p>
    <w:p w:rsidR="009A35F2" w:rsidRPr="009A35F2" w:rsidRDefault="009A35F2" w:rsidP="009A35F2">
      <w:pPr>
        <w:spacing w:after="120" w:line="240" w:lineRule="auto"/>
        <w:ind w:right="-44"/>
        <w:jc w:val="both"/>
        <w:rPr>
          <w:rFonts w:ascii="Times New Roman" w:hAnsi="Times New Roman"/>
        </w:rPr>
      </w:pPr>
    </w:p>
    <w:p w:rsidR="009A35F2" w:rsidRPr="008B41DB" w:rsidRDefault="009A35F2" w:rsidP="009A35F2">
      <w:pPr>
        <w:widowControl w:val="0"/>
        <w:overflowPunct w:val="0"/>
        <w:autoSpaceDE w:val="0"/>
        <w:autoSpaceDN w:val="0"/>
        <w:adjustRightInd w:val="0"/>
        <w:spacing w:after="120"/>
        <w:ind w:right="-44"/>
        <w:rPr>
          <w:rFonts w:ascii="Times New Roman" w:hAnsi="Times New Roman"/>
        </w:rPr>
      </w:pPr>
      <w:r w:rsidRPr="009A35F2">
        <w:rPr>
          <w:rFonts w:ascii="Times New Roman" w:hAnsi="Times New Roman"/>
          <w:smallCaps/>
        </w:rPr>
        <w:t>Jereissati Participações S.A.</w:t>
      </w:r>
      <w:r w:rsidRPr="009A35F2">
        <w:rPr>
          <w:rFonts w:ascii="Times New Roman" w:hAnsi="Times New Roman"/>
          <w:smallCaps/>
          <w:szCs w:val="26"/>
        </w:rPr>
        <w:t xml:space="preserve"> </w:t>
      </w:r>
      <w:r w:rsidRPr="009A35F2">
        <w:rPr>
          <w:rFonts w:ascii="Times New Roman" w:hAnsi="Times New Roman"/>
          <w:smallCaps/>
          <w:szCs w:val="26"/>
        </w:rPr>
        <w:br/>
      </w:r>
      <w:r w:rsidRPr="009A35F2">
        <w:rPr>
          <w:rFonts w:ascii="Times New Roman" w:hAnsi="Times New Roman"/>
        </w:rPr>
        <w:t>Rua Angelina Maffei Vita 200, 9º andar</w:t>
      </w:r>
      <w:r w:rsidRPr="009A35F2">
        <w:rPr>
          <w:rFonts w:ascii="Times New Roman" w:hAnsi="Times New Roman"/>
          <w:szCs w:val="26"/>
        </w:rPr>
        <w:br/>
      </w:r>
      <w:r w:rsidRPr="009A35F2">
        <w:rPr>
          <w:rFonts w:ascii="Times New Roman" w:hAnsi="Times New Roman"/>
        </w:rPr>
        <w:t xml:space="preserve">01455-070  São Paulo, SP </w:t>
      </w:r>
      <w:r w:rsidRPr="009A35F2">
        <w:rPr>
          <w:rFonts w:ascii="Times New Roman" w:hAnsi="Times New Roman"/>
          <w:szCs w:val="26"/>
        </w:rPr>
        <w:br/>
      </w:r>
      <w:hyperlink r:id="rId7" w:history="1">
        <w:r w:rsidR="008B41DB" w:rsidRPr="008B41DB">
          <w:rPr>
            <w:rStyle w:val="Hyperlink"/>
            <w:rFonts w:ascii="Times New Roman" w:hAnsi="Times New Roman"/>
            <w:color w:val="auto"/>
          </w:rPr>
          <w:t>http://www.jereissati.com.br/</w:t>
        </w:r>
      </w:hyperlink>
      <w:r w:rsidR="008B41DB" w:rsidRPr="008B41DB">
        <w:rPr>
          <w:rFonts w:ascii="Times New Roman" w:hAnsi="Times New Roman"/>
        </w:rPr>
        <w:t xml:space="preserve"> (neste website, acessar "Atas e Comunicados"</w:t>
      </w:r>
      <w:r w:rsidR="00314007">
        <w:rPr>
          <w:rFonts w:ascii="Times New Roman" w:hAnsi="Times New Roman"/>
        </w:rPr>
        <w:t xml:space="preserve"> e</w:t>
      </w:r>
      <w:r w:rsidR="008B41DB" w:rsidRPr="008B41DB">
        <w:rPr>
          <w:rFonts w:ascii="Times New Roman" w:hAnsi="Times New Roman"/>
        </w:rPr>
        <w:t>, em seguida, "Outros eventos societários")</w:t>
      </w:r>
    </w:p>
    <w:p w:rsidR="009A35F2" w:rsidRPr="009A35F2" w:rsidRDefault="007E1892" w:rsidP="009A35F2">
      <w:pPr>
        <w:widowControl w:val="0"/>
        <w:overflowPunct w:val="0"/>
        <w:autoSpaceDE w:val="0"/>
        <w:autoSpaceDN w:val="0"/>
        <w:adjustRightInd w:val="0"/>
        <w:spacing w:after="120"/>
        <w:ind w:right="-44"/>
        <w:rPr>
          <w:rFonts w:ascii="Times New Roman" w:hAnsi="Times New Roman"/>
        </w:rPr>
      </w:pPr>
      <w:r>
        <w:rPr>
          <w:rFonts w:ascii="Times New Roman" w:hAnsi="Times New Roman"/>
          <w:smallCaps/>
        </w:rPr>
        <w:t>JPSP Investimentos e Participações</w:t>
      </w:r>
      <w:r w:rsidR="009A35F2" w:rsidRPr="009A35F2">
        <w:rPr>
          <w:rFonts w:ascii="Times New Roman" w:hAnsi="Times New Roman"/>
          <w:smallCaps/>
        </w:rPr>
        <w:t xml:space="preserve"> S.A.</w:t>
      </w:r>
      <w:r w:rsidR="009A35F2" w:rsidRPr="009A35F2">
        <w:rPr>
          <w:rFonts w:ascii="Times New Roman" w:hAnsi="Times New Roman"/>
          <w:smallCaps/>
          <w:szCs w:val="26"/>
        </w:rPr>
        <w:t xml:space="preserve"> </w:t>
      </w:r>
      <w:r w:rsidR="009A35F2" w:rsidRPr="009A35F2">
        <w:rPr>
          <w:rFonts w:ascii="Times New Roman" w:hAnsi="Times New Roman"/>
          <w:smallCaps/>
          <w:szCs w:val="26"/>
        </w:rPr>
        <w:br/>
      </w:r>
      <w:r w:rsidR="009A35F2" w:rsidRPr="009A35F2">
        <w:rPr>
          <w:rFonts w:ascii="Times New Roman" w:hAnsi="Times New Roman"/>
        </w:rPr>
        <w:t>Rua Angelina Maffei Vita 200, 9º andar</w:t>
      </w:r>
      <w:r w:rsidR="009A35F2" w:rsidRPr="009A35F2">
        <w:rPr>
          <w:rFonts w:ascii="Times New Roman" w:hAnsi="Times New Roman"/>
          <w:szCs w:val="26"/>
        </w:rPr>
        <w:br/>
      </w:r>
      <w:r w:rsidR="009A35F2" w:rsidRPr="009A35F2">
        <w:rPr>
          <w:rFonts w:ascii="Times New Roman" w:hAnsi="Times New Roman"/>
        </w:rPr>
        <w:t xml:space="preserve">01455-070  São Paulo, SP </w:t>
      </w:r>
      <w:r w:rsidR="009A35F2" w:rsidRPr="009A35F2">
        <w:rPr>
          <w:rFonts w:ascii="Times New Roman" w:hAnsi="Times New Roman"/>
          <w:szCs w:val="26"/>
        </w:rPr>
        <w:br/>
      </w:r>
      <w:hyperlink r:id="rId8" w:history="1">
        <w:r w:rsidR="008B41DB" w:rsidRPr="008B41DB">
          <w:rPr>
            <w:rStyle w:val="Hyperlink"/>
            <w:rFonts w:ascii="Times New Roman" w:hAnsi="Times New Roman"/>
            <w:color w:val="auto"/>
          </w:rPr>
          <w:t>http://www.lafonte.com.br/</w:t>
        </w:r>
      </w:hyperlink>
      <w:r w:rsidR="008B41DB" w:rsidRPr="008B41DB">
        <w:rPr>
          <w:rFonts w:ascii="Times New Roman" w:hAnsi="Times New Roman"/>
        </w:rPr>
        <w:t xml:space="preserve"> (neste websi</w:t>
      </w:r>
      <w:r w:rsidR="00314007">
        <w:rPr>
          <w:rFonts w:ascii="Times New Roman" w:hAnsi="Times New Roman"/>
        </w:rPr>
        <w:t>te, acessar "Atas e Comunicados</w:t>
      </w:r>
      <w:r w:rsidR="008B41DB" w:rsidRPr="008B41DB">
        <w:rPr>
          <w:rFonts w:ascii="Times New Roman" w:hAnsi="Times New Roman"/>
        </w:rPr>
        <w:t>"</w:t>
      </w:r>
      <w:r w:rsidR="00314007">
        <w:rPr>
          <w:rFonts w:ascii="Times New Roman" w:hAnsi="Times New Roman"/>
        </w:rPr>
        <w:t xml:space="preserve"> e</w:t>
      </w:r>
      <w:r w:rsidR="008B41DB" w:rsidRPr="008B41DB">
        <w:rPr>
          <w:rFonts w:ascii="Times New Roman" w:hAnsi="Times New Roman"/>
        </w:rPr>
        <w:t>, em seguida, "Outros eventos societários")</w:t>
      </w:r>
    </w:p>
    <w:p w:rsidR="009A35F2" w:rsidRPr="009A35F2" w:rsidRDefault="009A35F2" w:rsidP="009A35F2">
      <w:pPr>
        <w:widowControl w:val="0"/>
        <w:overflowPunct w:val="0"/>
        <w:autoSpaceDE w:val="0"/>
        <w:autoSpaceDN w:val="0"/>
        <w:adjustRightInd w:val="0"/>
        <w:spacing w:after="120"/>
        <w:ind w:right="-44"/>
        <w:rPr>
          <w:rFonts w:ascii="Times New Roman" w:hAnsi="Times New Roman"/>
        </w:rPr>
      </w:pPr>
      <w:r w:rsidRPr="009A35F2">
        <w:rPr>
          <w:rFonts w:ascii="Times New Roman" w:hAnsi="Times New Roman"/>
          <w:smallCaps/>
        </w:rPr>
        <w:t>BTG Pactual Corretora De Títulos e Valores Mobiliários S.A.</w:t>
      </w:r>
      <w:r w:rsidRPr="009A35F2">
        <w:rPr>
          <w:rFonts w:ascii="Times New Roman" w:hAnsi="Times New Roman"/>
          <w:smallCaps/>
          <w:szCs w:val="26"/>
        </w:rPr>
        <w:br/>
      </w:r>
      <w:r w:rsidRPr="009A35F2">
        <w:rPr>
          <w:rFonts w:ascii="Times New Roman" w:hAnsi="Times New Roman"/>
        </w:rPr>
        <w:t>Avenida Brigadeiro Faria Lima 3477, 14° andar</w:t>
      </w:r>
      <w:r w:rsidRPr="009A35F2">
        <w:rPr>
          <w:rFonts w:ascii="Times New Roman" w:hAnsi="Times New Roman"/>
          <w:szCs w:val="26"/>
        </w:rPr>
        <w:br/>
      </w:r>
      <w:r w:rsidRPr="009A35F2">
        <w:rPr>
          <w:rFonts w:ascii="Times New Roman" w:hAnsi="Times New Roman"/>
        </w:rPr>
        <w:t xml:space="preserve">CEP 04538-133  São Paulo, SP </w:t>
      </w:r>
      <w:r w:rsidRPr="009A35F2">
        <w:rPr>
          <w:rFonts w:ascii="Times New Roman" w:hAnsi="Times New Roman"/>
          <w:szCs w:val="26"/>
        </w:rPr>
        <w:br/>
      </w:r>
      <w:hyperlink r:id="rId9" w:history="1">
        <w:r w:rsidRPr="009A35F2">
          <w:rPr>
            <w:rStyle w:val="Hyperlink"/>
            <w:rFonts w:ascii="Times New Roman" w:hAnsi="Times New Roman"/>
            <w:color w:val="auto"/>
            <w:u w:val="single"/>
          </w:rPr>
          <w:t>https://www.btgpactual.com/home/investment-bank</w:t>
        </w:r>
      </w:hyperlink>
      <w:r w:rsidRPr="009A35F2">
        <w:rPr>
          <w:rFonts w:ascii="Times New Roman" w:hAnsi="Times New Roman"/>
        </w:rPr>
        <w:t xml:space="preserve"> (neste </w:t>
      </w:r>
      <w:r w:rsidRPr="00447F06">
        <w:rPr>
          <w:rFonts w:ascii="Times New Roman" w:hAnsi="Times New Roman"/>
          <w:i/>
        </w:rPr>
        <w:t>website</w:t>
      </w:r>
      <w:r w:rsidRPr="009A35F2">
        <w:rPr>
          <w:rFonts w:ascii="Times New Roman" w:hAnsi="Times New Roman"/>
        </w:rPr>
        <w:t xml:space="preserve">, clicar em "Mercado de Capitais – Download" e depois em “2017”, acessar "Oferta Pública Unificada de Aquisição de Ações Ordinárias e de Ações Preferenciais de Emissão da </w:t>
      </w:r>
      <w:r w:rsidR="004E17DA">
        <w:rPr>
          <w:rFonts w:ascii="Times New Roman" w:hAnsi="Times New Roman"/>
        </w:rPr>
        <w:t>JPSP Investimentos e Participações</w:t>
      </w:r>
      <w:r w:rsidRPr="009A35F2">
        <w:rPr>
          <w:rFonts w:ascii="Times New Roman" w:hAnsi="Times New Roman"/>
        </w:rPr>
        <w:t xml:space="preserve"> S.A." e clicar em "Edital", "Laudo de Avaliação" e "Formulário de Manifestação").</w:t>
      </w:r>
    </w:p>
    <w:p w:rsidR="009A35F2" w:rsidRPr="009A35F2" w:rsidRDefault="009A35F2" w:rsidP="009A35F2">
      <w:pPr>
        <w:spacing w:after="120"/>
        <w:ind w:right="-44"/>
        <w:rPr>
          <w:rFonts w:ascii="Times New Roman" w:hAnsi="Times New Roman"/>
        </w:rPr>
      </w:pPr>
      <w:r w:rsidRPr="009A35F2">
        <w:rPr>
          <w:rFonts w:ascii="Times New Roman" w:hAnsi="Times New Roman"/>
          <w:smallCaps/>
        </w:rPr>
        <w:lastRenderedPageBreak/>
        <w:t>Comissão de Valores Mobiliários</w:t>
      </w:r>
      <w:r w:rsidRPr="009A35F2">
        <w:rPr>
          <w:rFonts w:ascii="Times New Roman" w:hAnsi="Times New Roman"/>
          <w:smallCaps/>
          <w:szCs w:val="26"/>
        </w:rPr>
        <w:br/>
      </w:r>
      <w:r w:rsidRPr="009A35F2">
        <w:rPr>
          <w:rFonts w:ascii="Times New Roman" w:hAnsi="Times New Roman"/>
        </w:rPr>
        <w:t>Rua Sete de Setembro 111, 5º andar  Rio de Janeiro – RJ</w:t>
      </w:r>
      <w:r w:rsidRPr="009A35F2">
        <w:rPr>
          <w:rFonts w:ascii="Times New Roman" w:hAnsi="Times New Roman"/>
          <w:szCs w:val="26"/>
        </w:rPr>
        <w:br/>
      </w:r>
      <w:r w:rsidRPr="009A35F2">
        <w:rPr>
          <w:rFonts w:ascii="Times New Roman" w:hAnsi="Times New Roman"/>
        </w:rPr>
        <w:t>Rua Cincinato Braga 340, 2º ao 4º andares  São Paulo – SP</w:t>
      </w:r>
      <w:r w:rsidRPr="009A35F2">
        <w:rPr>
          <w:rFonts w:ascii="Times New Roman" w:hAnsi="Times New Roman"/>
          <w:szCs w:val="26"/>
        </w:rPr>
        <w:br/>
      </w:r>
      <w:hyperlink r:id="rId10" w:history="1">
        <w:r w:rsidRPr="009A35F2">
          <w:rPr>
            <w:rStyle w:val="Hyperlink"/>
            <w:rFonts w:ascii="Times New Roman" w:hAnsi="Times New Roman"/>
            <w:color w:val="auto"/>
          </w:rPr>
          <w:t>www.cvm.gov.br</w:t>
        </w:r>
      </w:hyperlink>
      <w:r w:rsidRPr="009A35F2">
        <w:rPr>
          <w:rFonts w:ascii="Times New Roman" w:hAnsi="Times New Roman"/>
        </w:rPr>
        <w:t xml:space="preserve"> (neste </w:t>
      </w:r>
      <w:r w:rsidRPr="009A35F2">
        <w:rPr>
          <w:rFonts w:ascii="Times New Roman" w:hAnsi="Times New Roman"/>
          <w:i/>
        </w:rPr>
        <w:t>website</w:t>
      </w:r>
      <w:r w:rsidRPr="009A35F2">
        <w:rPr>
          <w:rFonts w:ascii="Times New Roman" w:hAnsi="Times New Roman"/>
        </w:rPr>
        <w:t>, em "Central de Sistemas" na página inicial, acessar "Informações sobre Companhias", em seguida, clicar no quadro "Informações periódicas e eventuais (ITR, DFs, Fatos Relevantes, Comunicados ao Mercado, entre outros", depois, no campo de busca, digitar “Jereissati Telecom”, selecionar "Jereissati Telecom S.A.", em seguida acessar "OPA – Edital de Oferta Pública de Ações")</w:t>
      </w:r>
    </w:p>
    <w:p w:rsidR="00580201" w:rsidRPr="009A35F2" w:rsidRDefault="009A35F2" w:rsidP="009A35F2">
      <w:pPr>
        <w:widowControl w:val="0"/>
        <w:spacing w:after="120" w:line="240" w:lineRule="auto"/>
        <w:rPr>
          <w:rFonts w:ascii="Times New Roman" w:hAnsi="Times New Roman" w:cs="Times New Roman"/>
          <w:szCs w:val="26"/>
        </w:rPr>
      </w:pPr>
      <w:r w:rsidRPr="009A35F2">
        <w:rPr>
          <w:rFonts w:ascii="Times New Roman" w:hAnsi="Times New Roman"/>
          <w:smallCaps/>
        </w:rPr>
        <w:t xml:space="preserve">BM&amp;FBOVESPA S.A. – Bolsa de Valores, Mercadorias e Futuros </w:t>
      </w:r>
      <w:r w:rsidRPr="009A35F2">
        <w:rPr>
          <w:rFonts w:ascii="Times New Roman" w:hAnsi="Times New Roman"/>
          <w:smallCaps/>
          <w:szCs w:val="26"/>
        </w:rPr>
        <w:br/>
      </w:r>
      <w:r w:rsidRPr="009A35F2">
        <w:rPr>
          <w:rFonts w:ascii="Times New Roman" w:hAnsi="Times New Roman"/>
        </w:rPr>
        <w:t>Praça Antônio Prado 48, 2º andar  São Paulo – SP</w:t>
      </w:r>
      <w:r w:rsidRPr="009A35F2">
        <w:rPr>
          <w:rFonts w:ascii="Times New Roman" w:hAnsi="Times New Roman"/>
          <w:szCs w:val="26"/>
        </w:rPr>
        <w:br/>
      </w:r>
      <w:hyperlink r:id="rId11" w:history="1">
        <w:r w:rsidRPr="009A35F2">
          <w:rPr>
            <w:rStyle w:val="Hyperlink"/>
            <w:rFonts w:ascii="Times New Roman" w:hAnsi="Times New Roman"/>
            <w:color w:val="auto"/>
          </w:rPr>
          <w:t>www.bmfbovespa.com.br</w:t>
        </w:r>
      </w:hyperlink>
      <w:r w:rsidRPr="009A35F2">
        <w:rPr>
          <w:rFonts w:ascii="Times New Roman" w:hAnsi="Times New Roman"/>
        </w:rPr>
        <w:t xml:space="preserve"> (neste website clique em "Serviços", "Leilões", "Bolsa de Valores" e, finalmente, acessar no primeiro quadro da página o link "Consulta")</w:t>
      </w:r>
    </w:p>
    <w:p w:rsidR="00075F63" w:rsidRDefault="00075F63" w:rsidP="00C86D4E">
      <w:pPr>
        <w:widowControl w:val="0"/>
        <w:spacing w:after="120" w:line="240" w:lineRule="auto"/>
        <w:jc w:val="both"/>
        <w:rPr>
          <w:rFonts w:ascii="Times New Roman" w:hAnsi="Times New Roman" w:cs="Times New Roman"/>
          <w:szCs w:val="26"/>
        </w:rPr>
      </w:pPr>
    </w:p>
    <w:p w:rsidR="000F2399" w:rsidRPr="00E3304B" w:rsidRDefault="000F2399" w:rsidP="00C86D4E">
      <w:pPr>
        <w:widowControl w:val="0"/>
        <w:spacing w:after="120" w:line="240" w:lineRule="auto"/>
        <w:jc w:val="both"/>
        <w:rPr>
          <w:rFonts w:ascii="Times New Roman" w:hAnsi="Times New Roman" w:cs="Times New Roman"/>
          <w:szCs w:val="26"/>
        </w:rPr>
      </w:pPr>
      <w:r w:rsidRPr="00E3304B">
        <w:rPr>
          <w:rFonts w:ascii="Times New Roman" w:hAnsi="Times New Roman" w:cs="Times New Roman"/>
          <w:szCs w:val="26"/>
        </w:rPr>
        <w:t xml:space="preserve">Este Formulário de Manifestação deve ser </w:t>
      </w:r>
      <w:r w:rsidR="00E3304B">
        <w:rPr>
          <w:rFonts w:ascii="Times New Roman" w:hAnsi="Times New Roman" w:cs="Times New Roman"/>
          <w:szCs w:val="26"/>
        </w:rPr>
        <w:t xml:space="preserve">integralmente </w:t>
      </w:r>
      <w:r w:rsidRPr="00E3304B">
        <w:rPr>
          <w:rFonts w:ascii="Times New Roman" w:hAnsi="Times New Roman" w:cs="Times New Roman"/>
          <w:szCs w:val="26"/>
        </w:rPr>
        <w:t xml:space="preserve">preenchido </w:t>
      </w:r>
      <w:r w:rsidR="00E3304B">
        <w:rPr>
          <w:rFonts w:ascii="Times New Roman" w:hAnsi="Times New Roman" w:cs="Times New Roman"/>
          <w:szCs w:val="26"/>
        </w:rPr>
        <w:t xml:space="preserve">em </w:t>
      </w:r>
      <w:r w:rsidR="00E3304B">
        <w:rPr>
          <w:rFonts w:ascii="Times New Roman" w:hAnsi="Times New Roman" w:cs="Times New Roman"/>
          <w:szCs w:val="26"/>
          <w:u w:val="single"/>
        </w:rPr>
        <w:t>2 (duas) vias</w:t>
      </w:r>
      <w:r w:rsidR="00E3304B">
        <w:rPr>
          <w:rFonts w:ascii="Times New Roman" w:hAnsi="Times New Roman" w:cs="Times New Roman"/>
          <w:szCs w:val="26"/>
        </w:rPr>
        <w:t xml:space="preserve">, de igual teor e forma, </w:t>
      </w:r>
      <w:r w:rsidRPr="00E3304B">
        <w:rPr>
          <w:rFonts w:ascii="Times New Roman" w:hAnsi="Times New Roman" w:cs="Times New Roman"/>
          <w:szCs w:val="26"/>
        </w:rPr>
        <w:t xml:space="preserve">assinado, com </w:t>
      </w:r>
      <w:r w:rsidR="000A63E4">
        <w:rPr>
          <w:rFonts w:ascii="Times New Roman" w:hAnsi="Times New Roman" w:cs="Times New Roman"/>
          <w:szCs w:val="26"/>
        </w:rPr>
        <w:t>reconhecimento de firma</w:t>
      </w:r>
      <w:r w:rsidR="00867E1A">
        <w:rPr>
          <w:rFonts w:ascii="Times New Roman" w:hAnsi="Times New Roman" w:cs="Times New Roman"/>
          <w:szCs w:val="26"/>
        </w:rPr>
        <w:t xml:space="preserve">, e entregue </w:t>
      </w:r>
      <w:r w:rsidRPr="00E3304B">
        <w:rPr>
          <w:rFonts w:ascii="Times New Roman" w:hAnsi="Times New Roman" w:cs="Times New Roman"/>
          <w:szCs w:val="26"/>
        </w:rPr>
        <w:t xml:space="preserve">até </w:t>
      </w:r>
      <w:r w:rsidR="00BD3A3F" w:rsidRPr="00E3304B">
        <w:rPr>
          <w:rFonts w:ascii="Times New Roman" w:hAnsi="Times New Roman" w:cs="Times New Roman"/>
          <w:szCs w:val="26"/>
        </w:rPr>
        <w:t>as 1</w:t>
      </w:r>
      <w:r w:rsidR="00E94667" w:rsidRPr="00E3304B">
        <w:rPr>
          <w:rFonts w:ascii="Times New Roman" w:hAnsi="Times New Roman" w:cs="Times New Roman"/>
          <w:szCs w:val="26"/>
        </w:rPr>
        <w:t>2</w:t>
      </w:r>
      <w:r w:rsidR="00BD3A3F" w:rsidRPr="00E3304B">
        <w:rPr>
          <w:rFonts w:ascii="Times New Roman" w:hAnsi="Times New Roman" w:cs="Times New Roman"/>
          <w:szCs w:val="26"/>
        </w:rPr>
        <w:t>:00 horas d</w:t>
      </w:r>
      <w:r w:rsidRPr="00E3304B">
        <w:rPr>
          <w:rFonts w:ascii="Times New Roman" w:hAnsi="Times New Roman" w:cs="Times New Roman"/>
          <w:szCs w:val="26"/>
        </w:rPr>
        <w:t xml:space="preserve">o dia </w:t>
      </w:r>
      <w:r w:rsidR="006E5B83">
        <w:rPr>
          <w:rFonts w:ascii="Times New Roman" w:hAnsi="Times New Roman" w:cs="Times New Roman"/>
          <w:szCs w:val="26"/>
        </w:rPr>
        <w:t>16</w:t>
      </w:r>
      <w:r w:rsidR="00D22506" w:rsidRPr="00E3304B">
        <w:rPr>
          <w:rFonts w:ascii="Times New Roman" w:hAnsi="Times New Roman" w:cs="Times New Roman"/>
          <w:szCs w:val="26"/>
        </w:rPr>
        <w:t> </w:t>
      </w:r>
      <w:r w:rsidRPr="00E3304B">
        <w:rPr>
          <w:rFonts w:ascii="Times New Roman" w:hAnsi="Times New Roman" w:cs="Times New Roman"/>
          <w:szCs w:val="26"/>
        </w:rPr>
        <w:t>de</w:t>
      </w:r>
      <w:r w:rsidR="00D22506" w:rsidRPr="00E3304B">
        <w:rPr>
          <w:rFonts w:ascii="Times New Roman" w:hAnsi="Times New Roman" w:cs="Times New Roman"/>
          <w:szCs w:val="26"/>
        </w:rPr>
        <w:t> </w:t>
      </w:r>
      <w:r w:rsidR="006E5B83">
        <w:rPr>
          <w:rFonts w:ascii="Times New Roman" w:hAnsi="Times New Roman" w:cs="Times New Roman"/>
          <w:szCs w:val="26"/>
        </w:rPr>
        <w:t>junho</w:t>
      </w:r>
      <w:r w:rsidR="00D22506" w:rsidRPr="00E3304B">
        <w:rPr>
          <w:rFonts w:ascii="Times New Roman" w:hAnsi="Times New Roman" w:cs="Times New Roman"/>
          <w:szCs w:val="26"/>
        </w:rPr>
        <w:t> </w:t>
      </w:r>
      <w:r w:rsidRPr="00E3304B">
        <w:rPr>
          <w:rFonts w:ascii="Times New Roman" w:hAnsi="Times New Roman" w:cs="Times New Roman"/>
          <w:szCs w:val="26"/>
        </w:rPr>
        <w:t>de</w:t>
      </w:r>
      <w:r w:rsidR="00D22506" w:rsidRPr="00E3304B">
        <w:rPr>
          <w:rFonts w:ascii="Times New Roman" w:hAnsi="Times New Roman" w:cs="Times New Roman"/>
          <w:szCs w:val="26"/>
        </w:rPr>
        <w:t> </w:t>
      </w:r>
      <w:r w:rsidR="00E94667" w:rsidRPr="00E3304B">
        <w:rPr>
          <w:rFonts w:ascii="Times New Roman" w:hAnsi="Times New Roman" w:cs="Times New Roman"/>
          <w:szCs w:val="26"/>
        </w:rPr>
        <w:t xml:space="preserve">2017, </w:t>
      </w:r>
      <w:r w:rsidRPr="00E3304B">
        <w:rPr>
          <w:rFonts w:ascii="Times New Roman" w:hAnsi="Times New Roman" w:cs="Times New Roman"/>
          <w:szCs w:val="26"/>
        </w:rPr>
        <w:t xml:space="preserve">dia útil </w:t>
      </w:r>
      <w:r w:rsidR="00E94667" w:rsidRPr="00E3304B">
        <w:rPr>
          <w:rFonts w:ascii="Times New Roman" w:hAnsi="Times New Roman" w:cs="Times New Roman"/>
          <w:szCs w:val="26"/>
        </w:rPr>
        <w:t>imediatamente anterior à Data</w:t>
      </w:r>
      <w:r w:rsidRPr="00E3304B">
        <w:rPr>
          <w:rFonts w:ascii="Times New Roman" w:hAnsi="Times New Roman" w:cs="Times New Roman"/>
          <w:szCs w:val="26"/>
        </w:rPr>
        <w:t xml:space="preserve"> do Leilão, </w:t>
      </w:r>
      <w:r w:rsidR="00836235">
        <w:rPr>
          <w:rFonts w:ascii="Times New Roman" w:hAnsi="Times New Roman" w:cs="Times New Roman"/>
          <w:szCs w:val="26"/>
        </w:rPr>
        <w:t xml:space="preserve">no endereço da Corretora </w:t>
      </w:r>
      <w:r w:rsidR="00846BC9">
        <w:rPr>
          <w:rFonts w:ascii="Times New Roman" w:hAnsi="Times New Roman" w:cs="Times New Roman"/>
          <w:szCs w:val="26"/>
        </w:rPr>
        <w:t>que escolheu escolhida para representa-lo no Leilão</w:t>
      </w:r>
      <w:r w:rsidR="00D22506" w:rsidRPr="00E3304B">
        <w:rPr>
          <w:rFonts w:ascii="Times New Roman" w:hAnsi="Times New Roman" w:cs="Times New Roman"/>
          <w:szCs w:val="26"/>
        </w:rPr>
        <w:t>.</w:t>
      </w:r>
    </w:p>
    <w:p w:rsidR="009821CE" w:rsidRDefault="009821CE" w:rsidP="00786EE2">
      <w:pPr>
        <w:widowControl w:val="0"/>
        <w:spacing w:after="120" w:line="240" w:lineRule="auto"/>
        <w:jc w:val="both"/>
        <w:rPr>
          <w:rFonts w:ascii="Times New Roman" w:hAnsi="Times New Roman" w:cs="Times New Roman"/>
          <w:szCs w:val="26"/>
        </w:rPr>
      </w:pPr>
    </w:p>
    <w:p w:rsidR="00786EE2" w:rsidRDefault="00B96849" w:rsidP="000C1E43">
      <w:pPr>
        <w:widowControl w:val="0"/>
        <w:spacing w:line="260" w:lineRule="exact"/>
        <w:ind w:firstLine="1701"/>
        <w:jc w:val="both"/>
        <w:rPr>
          <w:rFonts w:ascii="Times New Roman" w:hAnsi="Times New Roman"/>
          <w:szCs w:val="16"/>
        </w:rPr>
      </w:pPr>
      <w:r>
        <w:rPr>
          <w:rFonts w:ascii="Times New Roman" w:hAnsi="Times New Roman"/>
          <w:szCs w:val="16"/>
        </w:rPr>
        <w:t>_________________</w:t>
      </w:r>
      <w:bookmarkStart w:id="2" w:name="_GoBack"/>
      <w:bookmarkEnd w:id="2"/>
      <w:r w:rsidR="00786EE2" w:rsidRPr="00786EE2">
        <w:rPr>
          <w:rFonts w:ascii="Times New Roman" w:hAnsi="Times New Roman"/>
          <w:szCs w:val="16"/>
        </w:rPr>
        <w:t xml:space="preserve">, _______ de _____________ de </w:t>
      </w:r>
      <w:r w:rsidR="00786EE2">
        <w:rPr>
          <w:rFonts w:ascii="Times New Roman" w:hAnsi="Times New Roman"/>
          <w:szCs w:val="16"/>
        </w:rPr>
        <w:t>2017</w:t>
      </w:r>
    </w:p>
    <w:p w:rsidR="00786EE2" w:rsidRDefault="00786EE2" w:rsidP="000C1E43">
      <w:pPr>
        <w:widowControl w:val="0"/>
        <w:spacing w:line="260" w:lineRule="exact"/>
        <w:ind w:firstLine="1701"/>
        <w:jc w:val="both"/>
        <w:rPr>
          <w:rFonts w:ascii="Times New Roman" w:hAnsi="Times New Roman"/>
          <w:szCs w:val="16"/>
        </w:rPr>
      </w:pPr>
    </w:p>
    <w:p w:rsidR="00786EE2" w:rsidRDefault="00786EE2" w:rsidP="000C1E43">
      <w:pPr>
        <w:widowControl w:val="0"/>
        <w:spacing w:line="260" w:lineRule="exact"/>
        <w:ind w:firstLine="1701"/>
        <w:jc w:val="both"/>
        <w:rPr>
          <w:rFonts w:ascii="Times New Roman" w:hAnsi="Times New Roman"/>
          <w:szCs w:val="16"/>
        </w:rPr>
      </w:pPr>
    </w:p>
    <w:p w:rsidR="00786EE2" w:rsidRPr="00786EE2" w:rsidRDefault="00786EE2" w:rsidP="000C1E43">
      <w:pPr>
        <w:widowControl w:val="0"/>
        <w:spacing w:line="260" w:lineRule="exact"/>
        <w:ind w:left="1701"/>
        <w:rPr>
          <w:rFonts w:ascii="Times New Roman" w:hAnsi="Times New Roman"/>
          <w:szCs w:val="16"/>
        </w:rPr>
      </w:pPr>
      <w:r w:rsidRPr="00786EE2">
        <w:rPr>
          <w:rFonts w:ascii="Times New Roman" w:hAnsi="Times New Roman"/>
          <w:szCs w:val="16"/>
        </w:rPr>
        <w:t>______________________________________________</w:t>
      </w:r>
      <w:r w:rsidR="000C1E43">
        <w:rPr>
          <w:rFonts w:ascii="Times New Roman" w:hAnsi="Times New Roman"/>
          <w:szCs w:val="16"/>
        </w:rPr>
        <w:br/>
      </w:r>
      <w:r w:rsidRPr="00786EE2">
        <w:rPr>
          <w:rFonts w:ascii="Times New Roman" w:hAnsi="Times New Roman"/>
          <w:bCs/>
          <w:szCs w:val="16"/>
        </w:rPr>
        <w:t>N</w:t>
      </w:r>
      <w:r w:rsidR="000C1E43">
        <w:rPr>
          <w:rFonts w:ascii="Times New Roman" w:hAnsi="Times New Roman"/>
          <w:bCs/>
          <w:szCs w:val="16"/>
        </w:rPr>
        <w:t>ome Completo/Denominação Social:</w:t>
      </w:r>
      <w:r>
        <w:rPr>
          <w:rFonts w:ascii="Times New Roman" w:hAnsi="Times New Roman"/>
          <w:bCs/>
          <w:szCs w:val="16"/>
        </w:rPr>
        <w:br/>
      </w:r>
      <w:r w:rsidR="009856C8">
        <w:rPr>
          <w:rFonts w:ascii="Times New Roman" w:hAnsi="Times New Roman"/>
          <w:szCs w:val="16"/>
        </w:rPr>
        <w:t>RG</w:t>
      </w:r>
      <w:r w:rsidR="000C1E43">
        <w:rPr>
          <w:rFonts w:ascii="Times New Roman" w:hAnsi="Times New Roman"/>
          <w:szCs w:val="16"/>
        </w:rPr>
        <w:t xml:space="preserve"> (quando aplicável):</w:t>
      </w:r>
      <w:r w:rsidR="000C1E43">
        <w:rPr>
          <w:rFonts w:ascii="Times New Roman" w:hAnsi="Times New Roman"/>
          <w:szCs w:val="16"/>
        </w:rPr>
        <w:br/>
      </w:r>
      <w:r w:rsidR="00933DE5">
        <w:rPr>
          <w:rFonts w:ascii="Times New Roman" w:hAnsi="Times New Roman"/>
          <w:szCs w:val="16"/>
        </w:rPr>
        <w:t>CPF/CNPJ:</w:t>
      </w:r>
    </w:p>
    <w:sectPr w:rsidR="00786EE2" w:rsidRPr="00786E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AA" w:rsidRDefault="00035AAA" w:rsidP="00035AAA">
      <w:pPr>
        <w:spacing w:after="0" w:line="240" w:lineRule="auto"/>
      </w:pPr>
      <w:r>
        <w:separator/>
      </w:r>
    </w:p>
  </w:endnote>
  <w:endnote w:type="continuationSeparator" w:id="0">
    <w:p w:rsidR="00035AAA" w:rsidRDefault="00035AAA" w:rsidP="0003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Negrito">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AA" w:rsidRDefault="00035AAA" w:rsidP="00035AAA">
      <w:pPr>
        <w:spacing w:after="0" w:line="240" w:lineRule="auto"/>
      </w:pPr>
      <w:r>
        <w:separator/>
      </w:r>
    </w:p>
  </w:footnote>
  <w:footnote w:type="continuationSeparator" w:id="0">
    <w:p w:rsidR="00035AAA" w:rsidRDefault="00035AAA" w:rsidP="00035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4F87"/>
    <w:multiLevelType w:val="hybridMultilevel"/>
    <w:tmpl w:val="91C2486C"/>
    <w:lvl w:ilvl="0" w:tplc="84868B0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79D08F0"/>
    <w:multiLevelType w:val="hybridMultilevel"/>
    <w:tmpl w:val="28CEF0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A623824"/>
    <w:multiLevelType w:val="hybridMultilevel"/>
    <w:tmpl w:val="07F6D154"/>
    <w:lvl w:ilvl="0" w:tplc="41B2D804">
      <w:start w:val="1"/>
      <w:numFmt w:val="lowerRoman"/>
      <w:lvlText w:val="(%1)"/>
      <w:lvlJc w:val="left"/>
      <w:pPr>
        <w:ind w:left="720" w:hanging="360"/>
      </w:pPr>
      <w:rPr>
        <w:b w:val="0"/>
        <w:i w:val="0"/>
      </w:rPr>
    </w:lvl>
    <w:lvl w:ilvl="1" w:tplc="41B2D804">
      <w:start w:val="1"/>
      <w:numFmt w:val="lowerRoman"/>
      <w:lvlText w:val="(%2)"/>
      <w:lvlJc w:val="left"/>
      <w:pPr>
        <w:ind w:left="1440" w:hanging="360"/>
      </w:pPr>
      <w:rPr>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BF3555D"/>
    <w:multiLevelType w:val="hybridMultilevel"/>
    <w:tmpl w:val="E7DA20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57726E"/>
    <w:multiLevelType w:val="multilevel"/>
    <w:tmpl w:val="A5ECDA32"/>
    <w:lvl w:ilvl="0">
      <w:start w:val="1"/>
      <w:numFmt w:val="decimal"/>
      <w:lvlText w:val="%1."/>
      <w:lvlJc w:val="left"/>
      <w:pPr>
        <w:tabs>
          <w:tab w:val="num" w:pos="705"/>
        </w:tabs>
        <w:ind w:left="705" w:hanging="705"/>
      </w:pPr>
      <w:rPr>
        <w:rFonts w:ascii="Times New Roman" w:eastAsia="Calibri" w:hAnsi="Times New Roman" w:cs="Times New Roman" w:hint="default"/>
        <w:b/>
        <w:sz w:val="22"/>
        <w:szCs w:val="22"/>
      </w:rPr>
    </w:lvl>
    <w:lvl w:ilvl="1">
      <w:start w:val="1"/>
      <w:numFmt w:val="decimal"/>
      <w:lvlText w:val="%1.%2."/>
      <w:lvlJc w:val="left"/>
      <w:pPr>
        <w:tabs>
          <w:tab w:val="num" w:pos="705"/>
        </w:tabs>
        <w:ind w:left="705" w:hanging="705"/>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472236C"/>
    <w:multiLevelType w:val="hybridMultilevel"/>
    <w:tmpl w:val="C29ED110"/>
    <w:lvl w:ilvl="0" w:tplc="8E94656A">
      <w:start w:val="1"/>
      <w:numFmt w:val="decimal"/>
      <w:lvlText w:val="%1."/>
      <w:lvlJc w:val="left"/>
      <w:pPr>
        <w:ind w:left="720" w:hanging="360"/>
      </w:pPr>
      <w:rPr>
        <w:rFonts w:hint="default"/>
        <w:b/>
      </w:rPr>
    </w:lvl>
    <w:lvl w:ilvl="1" w:tplc="E192430C">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A61580"/>
    <w:multiLevelType w:val="hybridMultilevel"/>
    <w:tmpl w:val="28CEF0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4"/>
    <w:rsid w:val="00003445"/>
    <w:rsid w:val="00007B94"/>
    <w:rsid w:val="00035AAA"/>
    <w:rsid w:val="00074CE3"/>
    <w:rsid w:val="00075F63"/>
    <w:rsid w:val="00086614"/>
    <w:rsid w:val="00091844"/>
    <w:rsid w:val="000A63E4"/>
    <w:rsid w:val="000B3B4E"/>
    <w:rsid w:val="000C1E43"/>
    <w:rsid w:val="000E47D3"/>
    <w:rsid w:val="000F00F7"/>
    <w:rsid w:val="000F2399"/>
    <w:rsid w:val="000F48B5"/>
    <w:rsid w:val="00121A4F"/>
    <w:rsid w:val="00135948"/>
    <w:rsid w:val="00162D2C"/>
    <w:rsid w:val="001D385D"/>
    <w:rsid w:val="002438A2"/>
    <w:rsid w:val="00251CF2"/>
    <w:rsid w:val="002A1AB5"/>
    <w:rsid w:val="002B23A8"/>
    <w:rsid w:val="002B5228"/>
    <w:rsid w:val="002B77F6"/>
    <w:rsid w:val="002B7CCE"/>
    <w:rsid w:val="002D73F3"/>
    <w:rsid w:val="00314007"/>
    <w:rsid w:val="00330713"/>
    <w:rsid w:val="0036327F"/>
    <w:rsid w:val="003F0624"/>
    <w:rsid w:val="00402466"/>
    <w:rsid w:val="004113FD"/>
    <w:rsid w:val="00447F06"/>
    <w:rsid w:val="00464C13"/>
    <w:rsid w:val="00466724"/>
    <w:rsid w:val="004727C4"/>
    <w:rsid w:val="00475F10"/>
    <w:rsid w:val="004E17DA"/>
    <w:rsid w:val="004E218F"/>
    <w:rsid w:val="004F3590"/>
    <w:rsid w:val="00502277"/>
    <w:rsid w:val="00547DD5"/>
    <w:rsid w:val="0056037D"/>
    <w:rsid w:val="00574B2D"/>
    <w:rsid w:val="00580201"/>
    <w:rsid w:val="00583210"/>
    <w:rsid w:val="005841E1"/>
    <w:rsid w:val="00585AD8"/>
    <w:rsid w:val="005A3333"/>
    <w:rsid w:val="005A47CF"/>
    <w:rsid w:val="005B152D"/>
    <w:rsid w:val="005B2D83"/>
    <w:rsid w:val="00617C86"/>
    <w:rsid w:val="00617F4B"/>
    <w:rsid w:val="006210A1"/>
    <w:rsid w:val="0063574F"/>
    <w:rsid w:val="00665FEB"/>
    <w:rsid w:val="0067252B"/>
    <w:rsid w:val="00673461"/>
    <w:rsid w:val="0069419B"/>
    <w:rsid w:val="006A7EE6"/>
    <w:rsid w:val="006C3477"/>
    <w:rsid w:val="006E0F10"/>
    <w:rsid w:val="006E5B83"/>
    <w:rsid w:val="007649CC"/>
    <w:rsid w:val="00786EE2"/>
    <w:rsid w:val="00790C9A"/>
    <w:rsid w:val="00795A38"/>
    <w:rsid w:val="007C2F37"/>
    <w:rsid w:val="007E1892"/>
    <w:rsid w:val="007F3608"/>
    <w:rsid w:val="007F40B0"/>
    <w:rsid w:val="00802DCD"/>
    <w:rsid w:val="008229A5"/>
    <w:rsid w:val="00836235"/>
    <w:rsid w:val="00846BC9"/>
    <w:rsid w:val="00850876"/>
    <w:rsid w:val="008609F6"/>
    <w:rsid w:val="00867E1A"/>
    <w:rsid w:val="00870CFF"/>
    <w:rsid w:val="008B41DB"/>
    <w:rsid w:val="008F0395"/>
    <w:rsid w:val="008F2606"/>
    <w:rsid w:val="00915FFB"/>
    <w:rsid w:val="00916116"/>
    <w:rsid w:val="00917628"/>
    <w:rsid w:val="00933DE5"/>
    <w:rsid w:val="009363EA"/>
    <w:rsid w:val="00966A9C"/>
    <w:rsid w:val="0098022C"/>
    <w:rsid w:val="009821CE"/>
    <w:rsid w:val="009856C8"/>
    <w:rsid w:val="00992EEC"/>
    <w:rsid w:val="009A07BF"/>
    <w:rsid w:val="009A35F2"/>
    <w:rsid w:val="009A6CCF"/>
    <w:rsid w:val="009B5AE5"/>
    <w:rsid w:val="009D4138"/>
    <w:rsid w:val="00A34423"/>
    <w:rsid w:val="00A406AC"/>
    <w:rsid w:val="00A435F7"/>
    <w:rsid w:val="00A84962"/>
    <w:rsid w:val="00AD20FB"/>
    <w:rsid w:val="00AE6C04"/>
    <w:rsid w:val="00AF126A"/>
    <w:rsid w:val="00B17AFB"/>
    <w:rsid w:val="00B25E5D"/>
    <w:rsid w:val="00B41D5E"/>
    <w:rsid w:val="00B42C57"/>
    <w:rsid w:val="00B61AA8"/>
    <w:rsid w:val="00B66269"/>
    <w:rsid w:val="00B96849"/>
    <w:rsid w:val="00B97574"/>
    <w:rsid w:val="00BB0BB3"/>
    <w:rsid w:val="00BB6868"/>
    <w:rsid w:val="00BD3A3F"/>
    <w:rsid w:val="00BD4F56"/>
    <w:rsid w:val="00C60E2C"/>
    <w:rsid w:val="00C86D4E"/>
    <w:rsid w:val="00CB0035"/>
    <w:rsid w:val="00CD726B"/>
    <w:rsid w:val="00CD7806"/>
    <w:rsid w:val="00CF1FD9"/>
    <w:rsid w:val="00D22506"/>
    <w:rsid w:val="00D23471"/>
    <w:rsid w:val="00D3545C"/>
    <w:rsid w:val="00D4128E"/>
    <w:rsid w:val="00D87BBD"/>
    <w:rsid w:val="00DE40F2"/>
    <w:rsid w:val="00DF5B84"/>
    <w:rsid w:val="00E01762"/>
    <w:rsid w:val="00E03EAF"/>
    <w:rsid w:val="00E131A1"/>
    <w:rsid w:val="00E3304B"/>
    <w:rsid w:val="00E4115F"/>
    <w:rsid w:val="00E60AA5"/>
    <w:rsid w:val="00E64BD8"/>
    <w:rsid w:val="00E94667"/>
    <w:rsid w:val="00EC68EA"/>
    <w:rsid w:val="00F0236C"/>
    <w:rsid w:val="00F12B68"/>
    <w:rsid w:val="00F169F9"/>
    <w:rsid w:val="00F17A2B"/>
    <w:rsid w:val="00F2238A"/>
    <w:rsid w:val="00F77EC3"/>
    <w:rsid w:val="00F92B59"/>
    <w:rsid w:val="00FA3339"/>
    <w:rsid w:val="00FC258F"/>
    <w:rsid w:val="00FD281C"/>
    <w:rsid w:val="00FE05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BE41B-8532-4F0A-AE6D-FBB859E4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E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C04"/>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F2399"/>
    <w:pPr>
      <w:ind w:left="720"/>
      <w:contextualSpacing/>
    </w:pPr>
  </w:style>
  <w:style w:type="paragraph" w:styleId="Cabealho">
    <w:name w:val="header"/>
    <w:basedOn w:val="Normal"/>
    <w:link w:val="CabealhoChar"/>
    <w:uiPriority w:val="99"/>
    <w:unhideWhenUsed/>
    <w:rsid w:val="00035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AAA"/>
  </w:style>
  <w:style w:type="paragraph" w:styleId="Rodap">
    <w:name w:val="footer"/>
    <w:basedOn w:val="Normal"/>
    <w:link w:val="RodapChar"/>
    <w:uiPriority w:val="99"/>
    <w:unhideWhenUsed/>
    <w:rsid w:val="00035AAA"/>
    <w:pPr>
      <w:tabs>
        <w:tab w:val="center" w:pos="4252"/>
        <w:tab w:val="right" w:pos="8504"/>
      </w:tabs>
      <w:spacing w:after="0" w:line="240" w:lineRule="auto"/>
    </w:pPr>
  </w:style>
  <w:style w:type="character" w:customStyle="1" w:styleId="RodapChar">
    <w:name w:val="Rodapé Char"/>
    <w:basedOn w:val="Fontepargpadro"/>
    <w:link w:val="Rodap"/>
    <w:uiPriority w:val="99"/>
    <w:rsid w:val="00035AAA"/>
  </w:style>
  <w:style w:type="character" w:styleId="Hyperlink">
    <w:name w:val="Hyperlink"/>
    <w:rsid w:val="00DF5B84"/>
    <w:rPr>
      <w:rFonts w:ascii="Verdana" w:hAnsi="Verdana" w:cs="Times New Roman"/>
      <w:color w:val="00594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1151">
      <w:bodyDiv w:val="1"/>
      <w:marLeft w:val="0"/>
      <w:marRight w:val="0"/>
      <w:marTop w:val="0"/>
      <w:marBottom w:val="0"/>
      <w:divBdr>
        <w:top w:val="none" w:sz="0" w:space="0" w:color="auto"/>
        <w:left w:val="none" w:sz="0" w:space="0" w:color="auto"/>
        <w:bottom w:val="none" w:sz="0" w:space="0" w:color="auto"/>
        <w:right w:val="none" w:sz="0" w:space="0" w:color="auto"/>
      </w:divBdr>
    </w:div>
    <w:div w:id="10841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onte.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reissati.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fbovespa.com.br" TargetMode="External"/><Relationship Id="rId5" Type="http://schemas.openxmlformats.org/officeDocument/2006/relationships/footnotes" Target="footnotes.xml"/><Relationship Id="rId10" Type="http://schemas.openxmlformats.org/officeDocument/2006/relationships/hyperlink" Target="http://www.cvm.gov.br" TargetMode="External"/><Relationship Id="rId4" Type="http://schemas.openxmlformats.org/officeDocument/2006/relationships/webSettings" Target="webSettings.xml"/><Relationship Id="rId9" Type="http://schemas.openxmlformats.org/officeDocument/2006/relationships/hyperlink" Target="https://www.btgpactual.com/home/investment-b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Ziouva Godingo</dc:creator>
  <cp:lastModifiedBy>Pinheiro Guimarães - Advogados</cp:lastModifiedBy>
  <cp:revision>3</cp:revision>
  <dcterms:created xsi:type="dcterms:W3CDTF">2017-05-04T20:25:00Z</dcterms:created>
  <dcterms:modified xsi:type="dcterms:W3CDTF">2017-05-04T20:29:00Z</dcterms:modified>
</cp:coreProperties>
</file>